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29474E" w14:textId="77777777" w:rsidR="00194DDC" w:rsidRDefault="00194DDC" w:rsidP="00194DDC">
      <w:pPr>
        <w:pStyle w:val="NormalWeb"/>
      </w:pPr>
      <w:r>
        <w:rPr>
          <w:rFonts w:ascii="Calibri" w:hAnsi="Calibri" w:cs="Calibri"/>
          <w:b/>
          <w:bCs/>
          <w:color w:val="FF0000"/>
        </w:rPr>
        <w:t xml:space="preserve">26. Spontaneous hemoperitoneum in pregnancy: A life-threatening maternal and </w:t>
      </w:r>
      <w:proofErr w:type="spellStart"/>
      <w:r>
        <w:rPr>
          <w:rFonts w:ascii="Calibri" w:hAnsi="Calibri" w:cs="Calibri"/>
          <w:b/>
          <w:bCs/>
          <w:color w:val="FF0000"/>
        </w:rPr>
        <w:t>fetal</w:t>
      </w:r>
      <w:proofErr w:type="spellEnd"/>
      <w:r>
        <w:rPr>
          <w:rFonts w:ascii="Calibri" w:hAnsi="Calibri" w:cs="Calibri"/>
          <w:b/>
          <w:bCs/>
          <w:color w:val="FF0000"/>
        </w:rPr>
        <w:t xml:space="preserve"> complication of endometriosis </w:t>
      </w:r>
    </w:p>
    <w:p w14:paraId="63A16A14" w14:textId="77777777" w:rsidR="00194DDC" w:rsidRDefault="00194DDC" w:rsidP="00194DDC">
      <w:pPr>
        <w:pStyle w:val="NormalWeb"/>
      </w:pPr>
      <w:proofErr w:type="spellStart"/>
      <w:r>
        <w:rPr>
          <w:rFonts w:ascii="Calibri" w:hAnsi="Calibri" w:cs="Calibri"/>
          <w:color w:val="006DBF"/>
        </w:rPr>
        <w:t>François</w:t>
      </w:r>
      <w:proofErr w:type="spellEnd"/>
      <w:r>
        <w:rPr>
          <w:rFonts w:ascii="Calibri" w:hAnsi="Calibri" w:cs="Calibri"/>
          <w:color w:val="006DBF"/>
        </w:rPr>
        <w:t xml:space="preserve"> </w:t>
      </w:r>
      <w:proofErr w:type="spellStart"/>
      <w:r>
        <w:rPr>
          <w:rFonts w:ascii="Calibri" w:hAnsi="Calibri" w:cs="Calibri"/>
          <w:color w:val="006DBF"/>
        </w:rPr>
        <w:t>Golfier</w:t>
      </w:r>
      <w:proofErr w:type="spellEnd"/>
      <w:r>
        <w:rPr>
          <w:rFonts w:ascii="Calibri" w:hAnsi="Calibri" w:cs="Calibri"/>
          <w:color w:val="006DBF"/>
        </w:rPr>
        <w:t xml:space="preserve">, </w:t>
      </w:r>
      <w:proofErr w:type="spellStart"/>
      <w:r>
        <w:rPr>
          <w:rFonts w:ascii="Calibri" w:hAnsi="Calibri" w:cs="Calibri"/>
          <w:color w:val="006DBF"/>
        </w:rPr>
        <w:t>Léa</w:t>
      </w:r>
      <w:proofErr w:type="spellEnd"/>
      <w:r>
        <w:rPr>
          <w:rFonts w:ascii="Calibri" w:hAnsi="Calibri" w:cs="Calibri"/>
          <w:color w:val="006DBF"/>
        </w:rPr>
        <w:t xml:space="preserve"> </w:t>
      </w:r>
      <w:proofErr w:type="spellStart"/>
      <w:r>
        <w:rPr>
          <w:rFonts w:ascii="Calibri" w:hAnsi="Calibri" w:cs="Calibri"/>
          <w:color w:val="006DBF"/>
        </w:rPr>
        <w:t>Pleynet</w:t>
      </w:r>
      <w:proofErr w:type="spellEnd"/>
      <w:r>
        <w:rPr>
          <w:rFonts w:ascii="Calibri" w:hAnsi="Calibri" w:cs="Calibri"/>
          <w:color w:val="006DBF"/>
        </w:rPr>
        <w:t xml:space="preserve">, Pierre-Adrien </w:t>
      </w:r>
      <w:proofErr w:type="spellStart"/>
      <w:r>
        <w:rPr>
          <w:rFonts w:ascii="Calibri" w:hAnsi="Calibri" w:cs="Calibri"/>
          <w:color w:val="006DBF"/>
        </w:rPr>
        <w:t>Bolze</w:t>
      </w:r>
      <w:proofErr w:type="spellEnd"/>
      <w:r>
        <w:rPr>
          <w:rFonts w:ascii="Calibri" w:hAnsi="Calibri" w:cs="Calibri"/>
          <w:color w:val="006DBF"/>
        </w:rPr>
        <w:br/>
        <w:t xml:space="preserve">J </w:t>
      </w:r>
      <w:proofErr w:type="spellStart"/>
      <w:r>
        <w:rPr>
          <w:rFonts w:ascii="Calibri" w:hAnsi="Calibri" w:cs="Calibri"/>
          <w:color w:val="006DBF"/>
        </w:rPr>
        <w:t>Gynecol</w:t>
      </w:r>
      <w:proofErr w:type="spellEnd"/>
      <w:r>
        <w:rPr>
          <w:rFonts w:ascii="Calibri" w:hAnsi="Calibri" w:cs="Calibri"/>
          <w:color w:val="006DBF"/>
        </w:rPr>
        <w:t xml:space="preserve"> </w:t>
      </w:r>
      <w:proofErr w:type="spellStart"/>
      <w:r>
        <w:rPr>
          <w:rFonts w:ascii="Calibri" w:hAnsi="Calibri" w:cs="Calibri"/>
          <w:color w:val="006DBF"/>
        </w:rPr>
        <w:t>Obstet</w:t>
      </w:r>
      <w:proofErr w:type="spellEnd"/>
      <w:r>
        <w:rPr>
          <w:rFonts w:ascii="Calibri" w:hAnsi="Calibri" w:cs="Calibri"/>
          <w:color w:val="006DBF"/>
        </w:rPr>
        <w:t xml:space="preserve"> Hum </w:t>
      </w:r>
      <w:proofErr w:type="spellStart"/>
      <w:r>
        <w:rPr>
          <w:rFonts w:ascii="Calibri" w:hAnsi="Calibri" w:cs="Calibri"/>
          <w:color w:val="006DBF"/>
        </w:rPr>
        <w:t>Reprod</w:t>
      </w:r>
      <w:proofErr w:type="spellEnd"/>
      <w:r>
        <w:rPr>
          <w:rFonts w:ascii="Calibri" w:hAnsi="Calibri" w:cs="Calibri"/>
          <w:color w:val="006DBF"/>
        </w:rPr>
        <w:t>. 2022 Jun 3;51(7</w:t>
      </w:r>
      <w:proofErr w:type="gramStart"/>
      <w:r>
        <w:rPr>
          <w:rFonts w:ascii="Calibri" w:hAnsi="Calibri" w:cs="Calibri"/>
          <w:color w:val="006DBF"/>
        </w:rPr>
        <w:t>):102415.doi</w:t>
      </w:r>
      <w:proofErr w:type="gramEnd"/>
      <w:r>
        <w:rPr>
          <w:rFonts w:ascii="Calibri" w:hAnsi="Calibri" w:cs="Calibri"/>
          <w:color w:val="006DBF"/>
        </w:rPr>
        <w:t xml:space="preserve">: 10.1016/j.jogoh.2022.102415.Online ahead of print. </w:t>
      </w:r>
    </w:p>
    <w:p w14:paraId="426F6D16" w14:textId="77777777" w:rsidR="00194DDC" w:rsidRDefault="00194DDC" w:rsidP="00194DDC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Abstract </w:t>
      </w:r>
    </w:p>
    <w:p w14:paraId="47B8CD71" w14:textId="77777777" w:rsidR="00194DDC" w:rsidRDefault="00194DDC" w:rsidP="00194DDC">
      <w:pPr>
        <w:pStyle w:val="NormalWeb"/>
      </w:pPr>
      <w:proofErr w:type="spellStart"/>
      <w:proofErr w:type="gramStart"/>
      <w:r>
        <w:rPr>
          <w:rFonts w:ascii="Calibri" w:hAnsi="Calibri" w:cs="Calibri"/>
          <w:b/>
          <w:bCs/>
          <w:color w:val="1E1E1E"/>
        </w:rPr>
        <w:t>Background:</w:t>
      </w:r>
      <w:r>
        <w:rPr>
          <w:rFonts w:ascii="Calibri" w:hAnsi="Calibri" w:cs="Calibri"/>
          <w:color w:val="1E1E1E"/>
        </w:rPr>
        <w:t>Spontaneous</w:t>
      </w:r>
      <w:proofErr w:type="spellEnd"/>
      <w:proofErr w:type="gramEnd"/>
      <w:r>
        <w:rPr>
          <w:rFonts w:ascii="Calibri" w:hAnsi="Calibri" w:cs="Calibri"/>
          <w:color w:val="1E1E1E"/>
        </w:rPr>
        <w:t xml:space="preserve"> hemoperitoneum in pregnancy (</w:t>
      </w:r>
      <w:proofErr w:type="spellStart"/>
      <w:r>
        <w:rPr>
          <w:rFonts w:ascii="Calibri" w:hAnsi="Calibri" w:cs="Calibri"/>
          <w:color w:val="1E1E1E"/>
        </w:rPr>
        <w:t>SHiP</w:t>
      </w:r>
      <w:proofErr w:type="spellEnd"/>
      <w:r>
        <w:rPr>
          <w:rFonts w:ascii="Calibri" w:hAnsi="Calibri" w:cs="Calibri"/>
          <w:color w:val="1E1E1E"/>
        </w:rPr>
        <w:t xml:space="preserve">) is a complication of endometriosis. We describe the clinical characteristics and outcomes of mother and </w:t>
      </w:r>
      <w:proofErr w:type="spellStart"/>
      <w:r>
        <w:rPr>
          <w:rFonts w:ascii="Calibri" w:hAnsi="Calibri" w:cs="Calibri"/>
          <w:color w:val="1E1E1E"/>
        </w:rPr>
        <w:t>fetus</w:t>
      </w:r>
      <w:proofErr w:type="spellEnd"/>
      <w:r>
        <w:rPr>
          <w:rFonts w:ascii="Calibri" w:hAnsi="Calibri" w:cs="Calibri"/>
          <w:color w:val="1E1E1E"/>
        </w:rPr>
        <w:t xml:space="preserve"> in 11 new cases of </w:t>
      </w:r>
      <w:proofErr w:type="spellStart"/>
      <w:r>
        <w:rPr>
          <w:rFonts w:ascii="Calibri" w:hAnsi="Calibri" w:cs="Calibri"/>
          <w:color w:val="1E1E1E"/>
        </w:rPr>
        <w:t>SHiP</w:t>
      </w:r>
      <w:proofErr w:type="spellEnd"/>
      <w:r>
        <w:rPr>
          <w:rFonts w:ascii="Calibri" w:hAnsi="Calibri" w:cs="Calibri"/>
          <w:color w:val="1E1E1E"/>
        </w:rPr>
        <w:t xml:space="preserve"> with endometriosis and 43 cases reported in the literature since 1995. </w:t>
      </w:r>
    </w:p>
    <w:p w14:paraId="17AE49D6" w14:textId="77777777" w:rsidR="00194DDC" w:rsidRDefault="00194DDC" w:rsidP="00194DDC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Material and methods: </w:t>
      </w:r>
      <w:r>
        <w:rPr>
          <w:rFonts w:ascii="Calibri" w:hAnsi="Calibri" w:cs="Calibri"/>
          <w:color w:val="1E1E1E"/>
        </w:rPr>
        <w:t xml:space="preserve">The 60 maternity hospitals in the </w:t>
      </w:r>
      <w:proofErr w:type="spellStart"/>
      <w:r>
        <w:rPr>
          <w:rFonts w:ascii="Calibri" w:hAnsi="Calibri" w:cs="Calibri"/>
          <w:color w:val="1E1E1E"/>
        </w:rPr>
        <w:t>Auvergne-Rhône-Alpes</w:t>
      </w:r>
      <w:proofErr w:type="spellEnd"/>
      <w:r>
        <w:rPr>
          <w:rFonts w:ascii="Calibri" w:hAnsi="Calibri" w:cs="Calibri"/>
          <w:color w:val="1E1E1E"/>
        </w:rPr>
        <w:t xml:space="preserve"> region in France were contacted to identify cases of </w:t>
      </w:r>
      <w:proofErr w:type="spellStart"/>
      <w:r>
        <w:rPr>
          <w:rFonts w:ascii="Calibri" w:hAnsi="Calibri" w:cs="Calibri"/>
          <w:color w:val="1E1E1E"/>
        </w:rPr>
        <w:t>SHiP</w:t>
      </w:r>
      <w:proofErr w:type="spellEnd"/>
      <w:r>
        <w:rPr>
          <w:rFonts w:ascii="Calibri" w:hAnsi="Calibri" w:cs="Calibri"/>
          <w:color w:val="1E1E1E"/>
        </w:rPr>
        <w:t xml:space="preserve"> associated with endometriosis. In parallel, a systematic review of the literature used the PRISMA chart to report published cases. </w:t>
      </w:r>
    </w:p>
    <w:p w14:paraId="14534BCB" w14:textId="77777777" w:rsidR="00194DDC" w:rsidRDefault="00194DDC" w:rsidP="00194DDC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Results: </w:t>
      </w:r>
      <w:r>
        <w:rPr>
          <w:rFonts w:ascii="Calibri" w:hAnsi="Calibri" w:cs="Calibri"/>
          <w:color w:val="1E1E1E"/>
        </w:rPr>
        <w:t>Fifty-four cases of SHIP associated with endometriosis are presented. Twenty-four patients (44%) conceived with assisted reproductive techniques. Hemoperitoneum occurred before delivery in 47/54 cases (87%</w:t>
      </w:r>
      <w:proofErr w:type="gramStart"/>
      <w:r>
        <w:rPr>
          <w:rFonts w:ascii="Calibri" w:hAnsi="Calibri" w:cs="Calibri"/>
          <w:color w:val="1E1E1E"/>
        </w:rPr>
        <w:t>).The</w:t>
      </w:r>
      <w:proofErr w:type="gramEnd"/>
      <w:r>
        <w:rPr>
          <w:rFonts w:ascii="Calibri" w:hAnsi="Calibri" w:cs="Calibri"/>
          <w:color w:val="1E1E1E"/>
        </w:rPr>
        <w:t xml:space="preserve"> average gestational age of occurrence was 27 weeks (13 weeks to 40+6 weeks). </w:t>
      </w:r>
      <w:proofErr w:type="gramStart"/>
      <w:r>
        <w:rPr>
          <w:rFonts w:ascii="Calibri" w:hAnsi="Calibri" w:cs="Calibri"/>
          <w:color w:val="1E1E1E"/>
        </w:rPr>
        <w:t>An</w:t>
      </w:r>
      <w:proofErr w:type="gramEnd"/>
      <w:r>
        <w:rPr>
          <w:rFonts w:ascii="Calibri" w:hAnsi="Calibri" w:cs="Calibri"/>
          <w:color w:val="1E1E1E"/>
        </w:rPr>
        <w:t xml:space="preserve"> hypovolemic shock was present in 24/51 (47%) of patients. Forty-six women (85%) were treated by laparotomy, 5 (9%) by laparoscopy, 2 (2%) by interventional radiology. The </w:t>
      </w:r>
      <w:proofErr w:type="spellStart"/>
      <w:r>
        <w:rPr>
          <w:rFonts w:ascii="Calibri" w:hAnsi="Calibri" w:cs="Calibri"/>
          <w:color w:val="1E1E1E"/>
        </w:rPr>
        <w:t>hemorrhage</w:t>
      </w:r>
      <w:proofErr w:type="spellEnd"/>
      <w:r>
        <w:rPr>
          <w:rFonts w:ascii="Calibri" w:hAnsi="Calibri" w:cs="Calibri"/>
          <w:color w:val="1E1E1E"/>
        </w:rPr>
        <w:t xml:space="preserve"> site was in the mediolateral compartment of the pelvis in 29 cases (54%), corresponding to bleeding from vessels in the broad ligament in 24/29 (83%) of these cases. The mean estimated blood loss was 1957 mL (150-7500 mL). Emergency peripartum hysterectomy was required in 3/54 cases (6%). There were no maternal deaths. The average gestational age at birth was 30 weeks (13+2 weeks to 42 weeks). The </w:t>
      </w:r>
      <w:proofErr w:type="spellStart"/>
      <w:r>
        <w:rPr>
          <w:rFonts w:ascii="Calibri" w:hAnsi="Calibri" w:cs="Calibri"/>
          <w:color w:val="1E1E1E"/>
        </w:rPr>
        <w:t>fetus</w:t>
      </w:r>
      <w:proofErr w:type="spellEnd"/>
      <w:r>
        <w:rPr>
          <w:rFonts w:ascii="Calibri" w:hAnsi="Calibri" w:cs="Calibri"/>
          <w:color w:val="1E1E1E"/>
        </w:rPr>
        <w:t xml:space="preserve"> died in 19/64 cases (30%). </w:t>
      </w:r>
    </w:p>
    <w:p w14:paraId="5A8F754C" w14:textId="77777777" w:rsidR="00194DDC" w:rsidRDefault="00194DDC" w:rsidP="00194DDC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Conclusion: </w:t>
      </w:r>
      <w:proofErr w:type="spellStart"/>
      <w:r>
        <w:rPr>
          <w:rFonts w:ascii="Calibri" w:hAnsi="Calibri" w:cs="Calibri"/>
          <w:color w:val="1E1E1E"/>
        </w:rPr>
        <w:t>SHiP</w:t>
      </w:r>
      <w:proofErr w:type="spellEnd"/>
      <w:r>
        <w:rPr>
          <w:rFonts w:ascii="Calibri" w:hAnsi="Calibri" w:cs="Calibri"/>
          <w:color w:val="1E1E1E"/>
        </w:rPr>
        <w:t xml:space="preserve"> is an underestimated potentially fatal complication of endometriosis. Maternal salvage by emergency laparotomy is usually required to identify and treat the bleeding site. </w:t>
      </w:r>
      <w:proofErr w:type="spellStart"/>
      <w:r>
        <w:rPr>
          <w:rFonts w:ascii="Calibri" w:hAnsi="Calibri" w:cs="Calibri"/>
          <w:color w:val="1E1E1E"/>
        </w:rPr>
        <w:t>Fetal</w:t>
      </w:r>
      <w:proofErr w:type="spellEnd"/>
      <w:r>
        <w:rPr>
          <w:rFonts w:ascii="Calibri" w:hAnsi="Calibri" w:cs="Calibri"/>
          <w:color w:val="1E1E1E"/>
        </w:rPr>
        <w:t xml:space="preserve"> prognosis remains poor. </w:t>
      </w:r>
    </w:p>
    <w:p w14:paraId="4C93DA8C" w14:textId="77777777" w:rsidR="00194DDC" w:rsidRDefault="00194DDC" w:rsidP="00194DDC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Keywords: </w:t>
      </w:r>
      <w:r>
        <w:rPr>
          <w:rFonts w:ascii="Calibri" w:hAnsi="Calibri" w:cs="Calibri"/>
          <w:color w:val="1E1E1E"/>
        </w:rPr>
        <w:t xml:space="preserve">Endometriosis; Hemoperitoneum; Pregnancy; Pregnant women. </w:t>
      </w:r>
    </w:p>
    <w:p w14:paraId="25DEC284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DDC"/>
    <w:rsid w:val="00194DDC"/>
    <w:rsid w:val="001C7F88"/>
    <w:rsid w:val="00432D50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EFA4BB"/>
  <w15:chartTrackingRefBased/>
  <w15:docId w15:val="{FCF9445A-1FC7-694B-8971-734A5D484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94DD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92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87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014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282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16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1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302</Words>
  <Characters>1724</Characters>
  <Application>Microsoft Office Word</Application>
  <DocSecurity>0</DocSecurity>
  <Lines>14</Lines>
  <Paragraphs>4</Paragraphs>
  <ScaleCrop>false</ScaleCrop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2022-07-30T15:35:00Z</dcterms:created>
  <dcterms:modified xsi:type="dcterms:W3CDTF">2022-07-30T15:35:00Z</dcterms:modified>
</cp:coreProperties>
</file>