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7CBFB" w14:textId="77777777" w:rsidR="0053451C" w:rsidRDefault="0053451C" w:rsidP="0053451C">
      <w:pPr>
        <w:pStyle w:val="NormalWeb"/>
      </w:pPr>
      <w:r>
        <w:rPr>
          <w:rFonts w:ascii="Calibri" w:hAnsi="Calibri" w:cs="Calibri"/>
          <w:b/>
          <w:bCs/>
          <w:color w:val="FF0000"/>
        </w:rPr>
        <w:t xml:space="preserve">33.The </w:t>
      </w:r>
      <w:proofErr w:type="spellStart"/>
      <w:r>
        <w:rPr>
          <w:rFonts w:ascii="Calibri" w:hAnsi="Calibri" w:cs="Calibri"/>
          <w:b/>
          <w:bCs/>
          <w:color w:val="FF0000"/>
        </w:rPr>
        <w:t>dienogest</w:t>
      </w:r>
      <w:proofErr w:type="spellEnd"/>
      <w:r>
        <w:rPr>
          <w:rFonts w:ascii="Calibri" w:hAnsi="Calibri" w:cs="Calibri"/>
          <w:b/>
          <w:bCs/>
          <w:color w:val="FF0000"/>
        </w:rPr>
        <w:t xml:space="preserve">-related cystitis in women with endometriosis: a prospective, controlled, comparative study </w:t>
      </w:r>
    </w:p>
    <w:p w14:paraId="6C59659A" w14:textId="77777777" w:rsidR="0053451C" w:rsidRDefault="0053451C" w:rsidP="0053451C">
      <w:pPr>
        <w:pStyle w:val="NormalWeb"/>
      </w:pPr>
      <w:r>
        <w:rPr>
          <w:rFonts w:ascii="Calibri" w:hAnsi="Calibri" w:cs="Calibri"/>
          <w:color w:val="006DBF"/>
        </w:rPr>
        <w:t xml:space="preserve">Denis V </w:t>
      </w:r>
      <w:proofErr w:type="spellStart"/>
      <w:r>
        <w:rPr>
          <w:rFonts w:ascii="Calibri" w:hAnsi="Calibri" w:cs="Calibri"/>
          <w:color w:val="006DBF"/>
        </w:rPr>
        <w:t>Krakhotkin</w:t>
      </w:r>
      <w:proofErr w:type="spellEnd"/>
      <w:r>
        <w:rPr>
          <w:rFonts w:ascii="Calibri" w:hAnsi="Calibri" w:cs="Calibri"/>
          <w:color w:val="006DBF"/>
        </w:rPr>
        <w:t xml:space="preserve">, Maria N </w:t>
      </w:r>
      <w:proofErr w:type="spellStart"/>
      <w:r>
        <w:rPr>
          <w:rFonts w:ascii="Calibri" w:hAnsi="Calibri" w:cs="Calibri"/>
          <w:color w:val="006DBF"/>
        </w:rPr>
        <w:t>Silkina</w:t>
      </w:r>
      <w:proofErr w:type="spellEnd"/>
      <w:r>
        <w:rPr>
          <w:rFonts w:ascii="Calibri" w:hAnsi="Calibri" w:cs="Calibri"/>
          <w:color w:val="006DBF"/>
        </w:rPr>
        <w:t xml:space="preserve">, Volodymyr A </w:t>
      </w:r>
      <w:proofErr w:type="spellStart"/>
      <w:r>
        <w:rPr>
          <w:rFonts w:ascii="Calibri" w:hAnsi="Calibri" w:cs="Calibri"/>
          <w:color w:val="006DBF"/>
        </w:rPr>
        <w:t>Chernylovskyi</w:t>
      </w:r>
      <w:proofErr w:type="spellEnd"/>
      <w:r>
        <w:rPr>
          <w:rFonts w:ascii="Calibri" w:hAnsi="Calibri" w:cs="Calibri"/>
          <w:color w:val="006DBF"/>
        </w:rPr>
        <w:t xml:space="preserve">, Svetlana A </w:t>
      </w:r>
      <w:proofErr w:type="spellStart"/>
      <w:r>
        <w:rPr>
          <w:rFonts w:ascii="Calibri" w:hAnsi="Calibri" w:cs="Calibri"/>
          <w:color w:val="006DBF"/>
        </w:rPr>
        <w:t>Gayvoronskaya</w:t>
      </w:r>
      <w:proofErr w:type="spellEnd"/>
      <w:r>
        <w:rPr>
          <w:rFonts w:ascii="Calibri" w:hAnsi="Calibri" w:cs="Calibri"/>
          <w:color w:val="006DBF"/>
        </w:rPr>
        <w:br/>
        <w:t xml:space="preserve">J </w:t>
      </w:r>
      <w:proofErr w:type="spellStart"/>
      <w:r>
        <w:rPr>
          <w:rFonts w:ascii="Calibri" w:hAnsi="Calibri" w:cs="Calibri"/>
          <w:color w:val="006DBF"/>
        </w:rPr>
        <w:t>Obstet</w:t>
      </w:r>
      <w:proofErr w:type="spellEnd"/>
      <w:r>
        <w:rPr>
          <w:rFonts w:ascii="Calibri" w:hAnsi="Calibri" w:cs="Calibri"/>
          <w:color w:val="006DBF"/>
        </w:rPr>
        <w:t xml:space="preserve"> </w:t>
      </w:r>
      <w:proofErr w:type="spellStart"/>
      <w:r>
        <w:rPr>
          <w:rFonts w:ascii="Calibri" w:hAnsi="Calibri" w:cs="Calibri"/>
          <w:color w:val="006DBF"/>
        </w:rPr>
        <w:t>Gynaecol</w:t>
      </w:r>
      <w:proofErr w:type="spellEnd"/>
      <w:r>
        <w:rPr>
          <w:rFonts w:ascii="Calibri" w:hAnsi="Calibri" w:cs="Calibri"/>
          <w:color w:val="006DBF"/>
        </w:rPr>
        <w:t xml:space="preserve">. 2022 Jun </w:t>
      </w:r>
      <w:proofErr w:type="gramStart"/>
      <w:r>
        <w:rPr>
          <w:rFonts w:ascii="Calibri" w:hAnsi="Calibri" w:cs="Calibri"/>
          <w:color w:val="006DBF"/>
        </w:rPr>
        <w:t>2;1-6.doi</w:t>
      </w:r>
      <w:proofErr w:type="gramEnd"/>
      <w:r>
        <w:rPr>
          <w:rFonts w:ascii="Calibri" w:hAnsi="Calibri" w:cs="Calibri"/>
          <w:color w:val="006DBF"/>
        </w:rPr>
        <w:t xml:space="preserve">: 10.1080/01443615.2022.2081492. Online ahead of print. </w:t>
      </w:r>
    </w:p>
    <w:p w14:paraId="3C9BA3E1" w14:textId="77777777" w:rsidR="0053451C" w:rsidRDefault="0053451C" w:rsidP="0053451C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Abstract </w:t>
      </w:r>
    </w:p>
    <w:p w14:paraId="39EACDF9" w14:textId="77777777" w:rsidR="0053451C" w:rsidRDefault="0053451C" w:rsidP="0053451C">
      <w:pPr>
        <w:pStyle w:val="NormalWeb"/>
      </w:pPr>
      <w:r>
        <w:rPr>
          <w:rFonts w:ascii="Calibri" w:hAnsi="Calibri" w:cs="Calibri"/>
          <w:color w:val="1E1E1E"/>
        </w:rPr>
        <w:t xml:space="preserve">The aim of the study was to examine the severity of clinical symptoms of acute cystitis and the level bacteriuria in female patients who underwent to laparoscopic surgery followed by a postoperative administration of </w:t>
      </w:r>
      <w:proofErr w:type="spellStart"/>
      <w:r>
        <w:rPr>
          <w:rFonts w:ascii="Calibri" w:hAnsi="Calibri" w:cs="Calibri"/>
          <w:color w:val="1E1E1E"/>
        </w:rPr>
        <w:t>dienogest</w:t>
      </w:r>
      <w:proofErr w:type="spellEnd"/>
      <w:r>
        <w:rPr>
          <w:rFonts w:ascii="Calibri" w:hAnsi="Calibri" w:cs="Calibri"/>
          <w:color w:val="1E1E1E"/>
        </w:rPr>
        <w:t xml:space="preserve"> 2 mg and combined oral contraceptives pills (COCP). One hundred and </w:t>
      </w:r>
      <w:proofErr w:type="gramStart"/>
      <w:r>
        <w:rPr>
          <w:rFonts w:ascii="Calibri" w:hAnsi="Calibri" w:cs="Calibri"/>
          <w:color w:val="1E1E1E"/>
        </w:rPr>
        <w:t>forty five</w:t>
      </w:r>
      <w:proofErr w:type="gramEnd"/>
      <w:r>
        <w:rPr>
          <w:rFonts w:ascii="Calibri" w:hAnsi="Calibri" w:cs="Calibri"/>
          <w:color w:val="1E1E1E"/>
        </w:rPr>
        <w:t xml:space="preserve"> women who had a laparoscopic surgery prospectively were enrolled. Criteria inclusions were the age from 30 to 45 years old; body mass index (BMI) absence of previous hormonal therapy at least 6 month and recent performed a laparoscopy surgery for endometriosis. The women (</w:t>
      </w:r>
      <w:r>
        <w:rPr>
          <w:rFonts w:ascii="Calibri" w:hAnsi="Calibri" w:cs="Calibri"/>
          <w:i/>
          <w:iCs/>
          <w:color w:val="1E1E1E"/>
        </w:rPr>
        <w:t>n</w:t>
      </w:r>
      <w:r>
        <w:rPr>
          <w:rFonts w:ascii="Calibri" w:hAnsi="Calibri" w:cs="Calibri"/>
          <w:color w:val="1E1E1E"/>
        </w:rPr>
        <w:t xml:space="preserve">= 35) who had uterine myoma, abnormal coagulation profile; concomitant neoplastic diseases; chronic pelvic inflammatory disease and chronic recurrent cystitis were excluded from study. The female patients were assigned into both </w:t>
      </w:r>
      <w:proofErr w:type="gramStart"/>
      <w:r>
        <w:rPr>
          <w:rFonts w:ascii="Calibri" w:hAnsi="Calibri" w:cs="Calibri"/>
          <w:color w:val="1E1E1E"/>
        </w:rPr>
        <w:t>groups</w:t>
      </w:r>
      <w:proofErr w:type="gramEnd"/>
      <w:r>
        <w:rPr>
          <w:rFonts w:ascii="Calibri" w:hAnsi="Calibri" w:cs="Calibri"/>
          <w:color w:val="1E1E1E"/>
        </w:rPr>
        <w:t xml:space="preserve"> treatment: group I (</w:t>
      </w:r>
      <w:r>
        <w:rPr>
          <w:rFonts w:ascii="Calibri" w:hAnsi="Calibri" w:cs="Calibri"/>
          <w:i/>
          <w:iCs/>
          <w:color w:val="1E1E1E"/>
        </w:rPr>
        <w:t xml:space="preserve">n </w:t>
      </w:r>
      <w:r>
        <w:rPr>
          <w:rFonts w:ascii="Calibri" w:hAnsi="Calibri" w:cs="Calibri"/>
          <w:color w:val="1E1E1E"/>
        </w:rPr>
        <w:t xml:space="preserve">= 54) and group II (control, </w:t>
      </w:r>
      <w:r>
        <w:rPr>
          <w:rFonts w:ascii="Calibri" w:hAnsi="Calibri" w:cs="Calibri"/>
          <w:i/>
          <w:iCs/>
          <w:color w:val="1E1E1E"/>
        </w:rPr>
        <w:t xml:space="preserve">n </w:t>
      </w:r>
      <w:r>
        <w:rPr>
          <w:rFonts w:ascii="Calibri" w:hAnsi="Calibri" w:cs="Calibri"/>
          <w:color w:val="1E1E1E"/>
        </w:rPr>
        <w:t xml:space="preserve">= 56) who received </w:t>
      </w:r>
      <w:proofErr w:type="spellStart"/>
      <w:r>
        <w:rPr>
          <w:rFonts w:ascii="Calibri" w:hAnsi="Calibri" w:cs="Calibri"/>
          <w:color w:val="1E1E1E"/>
        </w:rPr>
        <w:t>dienogest</w:t>
      </w:r>
      <w:proofErr w:type="spellEnd"/>
      <w:r>
        <w:rPr>
          <w:rFonts w:ascii="Calibri" w:hAnsi="Calibri" w:cs="Calibri"/>
          <w:color w:val="1E1E1E"/>
        </w:rPr>
        <w:t xml:space="preserve"> 2 mg once daily and COCP, respectively. During follow-up three female patients of </w:t>
      </w:r>
      <w:proofErr w:type="gramStart"/>
      <w:r>
        <w:rPr>
          <w:rFonts w:ascii="Calibri" w:hAnsi="Calibri" w:cs="Calibri"/>
          <w:color w:val="1E1E1E"/>
        </w:rPr>
        <w:t>group</w:t>
      </w:r>
      <w:proofErr w:type="gramEnd"/>
      <w:r>
        <w:rPr>
          <w:rFonts w:ascii="Calibri" w:hAnsi="Calibri" w:cs="Calibri"/>
          <w:color w:val="1E1E1E"/>
        </w:rPr>
        <w:t xml:space="preserve"> I were withdrawn due to prolonged genital bleedings. The final analysis included 105 women. The patients of both groups had a low level of bacteriuria &lt;10</w:t>
      </w:r>
      <w:r>
        <w:rPr>
          <w:rFonts w:ascii="Calibri" w:hAnsi="Calibri" w:cs="Calibri"/>
          <w:color w:val="1E1E1E"/>
          <w:position w:val="8"/>
          <w:sz w:val="16"/>
          <w:szCs w:val="16"/>
        </w:rPr>
        <w:t xml:space="preserve">3 </w:t>
      </w:r>
      <w:r>
        <w:rPr>
          <w:rFonts w:ascii="Calibri" w:hAnsi="Calibri" w:cs="Calibri"/>
          <w:color w:val="1E1E1E"/>
        </w:rPr>
        <w:t>CFU/ml without clinical symptoms of acute cystitis before treatment. The level of bacteriuria in-group I significantly increased from 10</w:t>
      </w:r>
      <w:r>
        <w:rPr>
          <w:rFonts w:ascii="Calibri" w:hAnsi="Calibri" w:cs="Calibri"/>
          <w:color w:val="1E1E1E"/>
          <w:position w:val="8"/>
          <w:sz w:val="16"/>
          <w:szCs w:val="16"/>
        </w:rPr>
        <w:t xml:space="preserve">2 </w:t>
      </w:r>
      <w:r>
        <w:rPr>
          <w:rFonts w:ascii="Calibri" w:hAnsi="Calibri" w:cs="Calibri"/>
          <w:color w:val="1E1E1E"/>
        </w:rPr>
        <w:t>to 10</w:t>
      </w:r>
      <w:r>
        <w:rPr>
          <w:rFonts w:ascii="Calibri" w:hAnsi="Calibri" w:cs="Calibri"/>
          <w:color w:val="1E1E1E"/>
          <w:position w:val="8"/>
          <w:sz w:val="16"/>
          <w:szCs w:val="16"/>
        </w:rPr>
        <w:t xml:space="preserve">6 </w:t>
      </w:r>
      <w:r>
        <w:rPr>
          <w:rFonts w:ascii="Calibri" w:hAnsi="Calibri" w:cs="Calibri"/>
          <w:color w:val="1E1E1E"/>
        </w:rPr>
        <w:t>CFU/ml whereas in-group II did not exceed 10</w:t>
      </w:r>
      <w:r>
        <w:rPr>
          <w:rFonts w:ascii="Calibri" w:hAnsi="Calibri" w:cs="Calibri"/>
          <w:color w:val="1E1E1E"/>
          <w:position w:val="8"/>
          <w:sz w:val="16"/>
          <w:szCs w:val="16"/>
        </w:rPr>
        <w:t xml:space="preserve">2 </w:t>
      </w:r>
      <w:r>
        <w:rPr>
          <w:rFonts w:ascii="Calibri" w:hAnsi="Calibri" w:cs="Calibri"/>
          <w:color w:val="1E1E1E"/>
        </w:rPr>
        <w:t xml:space="preserve">CFU/ml during 4 weeks of hormonal treatment. The differences of values of acute cystitis symptom score (ACSS) for differential, typical, quality of life domains </w:t>
      </w:r>
      <w:proofErr w:type="gramStart"/>
      <w:r>
        <w:rPr>
          <w:rFonts w:ascii="Calibri" w:hAnsi="Calibri" w:cs="Calibri"/>
          <w:color w:val="1E1E1E"/>
        </w:rPr>
        <w:t>were</w:t>
      </w:r>
      <w:proofErr w:type="gramEnd"/>
      <w:r>
        <w:rPr>
          <w:rFonts w:ascii="Calibri" w:hAnsi="Calibri" w:cs="Calibri"/>
          <w:color w:val="1E1E1E"/>
        </w:rPr>
        <w:t xml:space="preserve"> statistically significant after 4, 8 and 12 weeks of therapy in-group I compared with group II. During 3 months of hormonal treatment with </w:t>
      </w:r>
      <w:proofErr w:type="spellStart"/>
      <w:r>
        <w:rPr>
          <w:rFonts w:ascii="Calibri" w:hAnsi="Calibri" w:cs="Calibri"/>
          <w:color w:val="1E1E1E"/>
        </w:rPr>
        <w:t>dienogest</w:t>
      </w:r>
      <w:proofErr w:type="spellEnd"/>
      <w:r>
        <w:rPr>
          <w:rFonts w:ascii="Calibri" w:hAnsi="Calibri" w:cs="Calibri"/>
          <w:color w:val="1E1E1E"/>
        </w:rPr>
        <w:t xml:space="preserve"> 2 mg in group I, the acute cystitis developed in 10 (18.5%), in 19 (38%) and in 34 (68%) women at 4, 8 and 12 weeks of follow-up, respectively. All cases of acute cystitis in-group I were successfully treated with </w:t>
      </w:r>
      <w:proofErr w:type="spellStart"/>
      <w:r>
        <w:rPr>
          <w:rFonts w:ascii="Calibri" w:hAnsi="Calibri" w:cs="Calibri"/>
          <w:color w:val="1E1E1E"/>
        </w:rPr>
        <w:t>fosfomycin</w:t>
      </w:r>
      <w:proofErr w:type="spellEnd"/>
      <w:r>
        <w:rPr>
          <w:rFonts w:ascii="Calibri" w:hAnsi="Calibri" w:cs="Calibri"/>
          <w:color w:val="1E1E1E"/>
        </w:rPr>
        <w:t xml:space="preserve"> trometamol 3 g single dose or nitrofurantoin 50 mg four times a day </w:t>
      </w:r>
      <w:proofErr w:type="gramStart"/>
      <w:r>
        <w:rPr>
          <w:rFonts w:ascii="Calibri" w:hAnsi="Calibri" w:cs="Calibri"/>
          <w:color w:val="1E1E1E"/>
        </w:rPr>
        <w:t>during</w:t>
      </w:r>
      <w:proofErr w:type="gramEnd"/>
      <w:r>
        <w:rPr>
          <w:rFonts w:ascii="Calibri" w:hAnsi="Calibri" w:cs="Calibri"/>
          <w:color w:val="1E1E1E"/>
        </w:rPr>
        <w:t xml:space="preserve"> 5 days. We concluded that the </w:t>
      </w:r>
      <w:proofErr w:type="spellStart"/>
      <w:r>
        <w:rPr>
          <w:rFonts w:ascii="Calibri" w:hAnsi="Calibri" w:cs="Calibri"/>
          <w:color w:val="1E1E1E"/>
        </w:rPr>
        <w:t>dienogest</w:t>
      </w:r>
      <w:proofErr w:type="spellEnd"/>
      <w:r>
        <w:rPr>
          <w:rFonts w:ascii="Calibri" w:hAnsi="Calibri" w:cs="Calibri"/>
          <w:color w:val="1E1E1E"/>
        </w:rPr>
        <w:t xml:space="preserve"> might increase the level bacteriuria and severity of clinical symptoms of acute cystitis during a postoperative prophylaxis of </w:t>
      </w:r>
      <w:proofErr w:type="spellStart"/>
      <w:proofErr w:type="gramStart"/>
      <w:r>
        <w:rPr>
          <w:rFonts w:ascii="Calibri" w:hAnsi="Calibri" w:cs="Calibri"/>
          <w:color w:val="1E1E1E"/>
        </w:rPr>
        <w:t>endometriosis.Impact</w:t>
      </w:r>
      <w:proofErr w:type="spellEnd"/>
      <w:proofErr w:type="gramEnd"/>
      <w:r>
        <w:rPr>
          <w:rFonts w:ascii="Calibri" w:hAnsi="Calibri" w:cs="Calibri"/>
          <w:color w:val="1E1E1E"/>
        </w:rPr>
        <w:t xml:space="preserve"> </w:t>
      </w:r>
      <w:proofErr w:type="spellStart"/>
      <w:r>
        <w:rPr>
          <w:rFonts w:ascii="Calibri" w:hAnsi="Calibri" w:cs="Calibri"/>
          <w:color w:val="1E1E1E"/>
        </w:rPr>
        <w:t>statement</w:t>
      </w:r>
      <w:r>
        <w:rPr>
          <w:rFonts w:ascii="Calibri" w:hAnsi="Calibri" w:cs="Calibri"/>
          <w:b/>
          <w:bCs/>
          <w:color w:val="1E1E1E"/>
        </w:rPr>
        <w:t>What</w:t>
      </w:r>
      <w:proofErr w:type="spellEnd"/>
      <w:r>
        <w:rPr>
          <w:rFonts w:ascii="Calibri" w:hAnsi="Calibri" w:cs="Calibri"/>
          <w:b/>
          <w:bCs/>
          <w:color w:val="1E1E1E"/>
        </w:rPr>
        <w:t xml:space="preserve"> is already known on this subject? </w:t>
      </w:r>
      <w:proofErr w:type="spellStart"/>
      <w:r>
        <w:rPr>
          <w:rFonts w:ascii="Calibri" w:hAnsi="Calibri" w:cs="Calibri"/>
          <w:color w:val="1E1E1E"/>
        </w:rPr>
        <w:t>Dienogest</w:t>
      </w:r>
      <w:proofErr w:type="spellEnd"/>
      <w:r>
        <w:rPr>
          <w:rFonts w:ascii="Calibri" w:hAnsi="Calibri" w:cs="Calibri"/>
          <w:color w:val="1E1E1E"/>
        </w:rPr>
        <w:t xml:space="preserve"> is a 19-nortestosterone derivative progestogen that is highly selective for progesterone receptors with high efficacy for reducing endometriosis-related pelvic pain syndrome. The administration of </w:t>
      </w:r>
      <w:proofErr w:type="spellStart"/>
      <w:r>
        <w:rPr>
          <w:rFonts w:ascii="Calibri" w:hAnsi="Calibri" w:cs="Calibri"/>
          <w:color w:val="1E1E1E"/>
        </w:rPr>
        <w:t>dienogest</w:t>
      </w:r>
      <w:proofErr w:type="spellEnd"/>
      <w:r>
        <w:rPr>
          <w:rFonts w:ascii="Calibri" w:hAnsi="Calibri" w:cs="Calibri"/>
          <w:color w:val="1E1E1E"/>
        </w:rPr>
        <w:t xml:space="preserve"> is a standard treatment option after laparoscopic excision of endometrial heterotopic tissue with prophylactic purpose. However, there are some adverse events, which are a cause for </w:t>
      </w:r>
      <w:proofErr w:type="spellStart"/>
      <w:proofErr w:type="gramStart"/>
      <w:r>
        <w:rPr>
          <w:rFonts w:ascii="Calibri" w:hAnsi="Calibri" w:cs="Calibri"/>
          <w:color w:val="1E1E1E"/>
        </w:rPr>
        <w:t>discontinuation.</w:t>
      </w:r>
      <w:r>
        <w:rPr>
          <w:rFonts w:ascii="Calibri" w:hAnsi="Calibri" w:cs="Calibri"/>
          <w:b/>
          <w:bCs/>
          <w:color w:val="1E1E1E"/>
        </w:rPr>
        <w:t>What</w:t>
      </w:r>
      <w:proofErr w:type="spellEnd"/>
      <w:proofErr w:type="gramEnd"/>
      <w:r>
        <w:rPr>
          <w:rFonts w:ascii="Calibri" w:hAnsi="Calibri" w:cs="Calibri"/>
          <w:b/>
          <w:bCs/>
          <w:color w:val="1E1E1E"/>
        </w:rPr>
        <w:t xml:space="preserve"> do the results of this study </w:t>
      </w:r>
      <w:proofErr w:type="spellStart"/>
      <w:r>
        <w:rPr>
          <w:rFonts w:ascii="Calibri" w:hAnsi="Calibri" w:cs="Calibri"/>
          <w:b/>
          <w:bCs/>
          <w:color w:val="1E1E1E"/>
        </w:rPr>
        <w:t>add?</w:t>
      </w:r>
      <w:r>
        <w:rPr>
          <w:rFonts w:ascii="Calibri" w:hAnsi="Calibri" w:cs="Calibri"/>
          <w:color w:val="1E1E1E"/>
        </w:rPr>
        <w:t>Despite</w:t>
      </w:r>
      <w:proofErr w:type="spellEnd"/>
      <w:r>
        <w:rPr>
          <w:rFonts w:ascii="Calibri" w:hAnsi="Calibri" w:cs="Calibri"/>
          <w:color w:val="1E1E1E"/>
        </w:rPr>
        <w:t xml:space="preserve"> the low incidence of urinary tract infection (1-5.4%) reported in different studies this study has shown that there was a significant increase of level bacteriuria and severity of clinical symptoms of cystitis in the </w:t>
      </w:r>
      <w:proofErr w:type="spellStart"/>
      <w:r>
        <w:rPr>
          <w:rFonts w:ascii="Calibri" w:hAnsi="Calibri" w:cs="Calibri"/>
          <w:color w:val="1E1E1E"/>
        </w:rPr>
        <w:t>dienogest</w:t>
      </w:r>
      <w:proofErr w:type="spellEnd"/>
      <w:r>
        <w:rPr>
          <w:rFonts w:ascii="Calibri" w:hAnsi="Calibri" w:cs="Calibri"/>
          <w:color w:val="1E1E1E"/>
        </w:rPr>
        <w:t xml:space="preserve"> </w:t>
      </w:r>
      <w:proofErr w:type="spellStart"/>
      <w:r>
        <w:rPr>
          <w:rFonts w:ascii="Calibri" w:hAnsi="Calibri" w:cs="Calibri"/>
          <w:color w:val="1E1E1E"/>
        </w:rPr>
        <w:t>group.</w:t>
      </w:r>
      <w:r>
        <w:rPr>
          <w:rFonts w:ascii="Calibri" w:hAnsi="Calibri" w:cs="Calibri"/>
          <w:b/>
          <w:bCs/>
          <w:color w:val="1E1E1E"/>
        </w:rPr>
        <w:t>What</w:t>
      </w:r>
      <w:proofErr w:type="spellEnd"/>
      <w:r>
        <w:rPr>
          <w:rFonts w:ascii="Calibri" w:hAnsi="Calibri" w:cs="Calibri"/>
          <w:b/>
          <w:bCs/>
          <w:color w:val="1E1E1E"/>
        </w:rPr>
        <w:t xml:space="preserve"> are the implications of these findings for clinical practice and/or further research? </w:t>
      </w:r>
      <w:r>
        <w:rPr>
          <w:rFonts w:ascii="Calibri" w:hAnsi="Calibri" w:cs="Calibri"/>
          <w:color w:val="1E1E1E"/>
        </w:rPr>
        <w:t xml:space="preserve">The implications of these findings are that the administration of </w:t>
      </w:r>
      <w:proofErr w:type="spellStart"/>
      <w:r>
        <w:rPr>
          <w:rFonts w:ascii="Calibri" w:hAnsi="Calibri" w:cs="Calibri"/>
          <w:color w:val="1E1E1E"/>
        </w:rPr>
        <w:t>dienogest</w:t>
      </w:r>
      <w:proofErr w:type="spellEnd"/>
      <w:r>
        <w:rPr>
          <w:rFonts w:ascii="Calibri" w:hAnsi="Calibri" w:cs="Calibri"/>
          <w:color w:val="1E1E1E"/>
        </w:rPr>
        <w:t xml:space="preserve"> may lead to enhancing of clinical symptoms of cystitis and increasing bacteriuria in some women after operative treatment of endometriosis. </w:t>
      </w:r>
    </w:p>
    <w:p w14:paraId="7FEC9E1F" w14:textId="77777777" w:rsidR="0053451C" w:rsidRDefault="0053451C" w:rsidP="0053451C">
      <w:pPr>
        <w:pStyle w:val="NormalWeb"/>
      </w:pPr>
      <w:r>
        <w:rPr>
          <w:rFonts w:ascii="Calibri" w:hAnsi="Calibri" w:cs="Calibri"/>
          <w:b/>
          <w:bCs/>
          <w:color w:val="1E1E1E"/>
        </w:rPr>
        <w:lastRenderedPageBreak/>
        <w:t xml:space="preserve">Keywords: </w:t>
      </w:r>
      <w:proofErr w:type="spellStart"/>
      <w:r>
        <w:rPr>
          <w:rFonts w:ascii="Calibri" w:hAnsi="Calibri" w:cs="Calibri"/>
          <w:color w:val="1E1E1E"/>
        </w:rPr>
        <w:t>Dienogest</w:t>
      </w:r>
      <w:proofErr w:type="spellEnd"/>
      <w:r>
        <w:rPr>
          <w:rFonts w:ascii="Calibri" w:hAnsi="Calibri" w:cs="Calibri"/>
          <w:color w:val="1E1E1E"/>
        </w:rPr>
        <w:t xml:space="preserve">; bacterial flora; combined oral contraceptive; cystitis; endometriosis; urine culture. </w:t>
      </w:r>
    </w:p>
    <w:p w14:paraId="00031124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51C"/>
    <w:rsid w:val="001C7F88"/>
    <w:rsid w:val="00432D50"/>
    <w:rsid w:val="0053451C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E3EE24"/>
  <w15:chartTrackingRefBased/>
  <w15:docId w15:val="{88492824-C82D-674D-96F9-569DD1F39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3451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786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1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72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70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536</Words>
  <Characters>3061</Characters>
  <Application>Microsoft Office Word</Application>
  <DocSecurity>0</DocSecurity>
  <Lines>25</Lines>
  <Paragraphs>7</Paragraphs>
  <ScaleCrop>false</ScaleCrop>
  <Company/>
  <LinksUpToDate>false</LinksUpToDate>
  <CharactersWithSpaces>3590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2022-07-30T15:39:00Z</dcterms:created>
  <dcterms:modified xsi:type="dcterms:W3CDTF">2022-07-30T15:40:00Z</dcterms:modified>
</cp:coreProperties>
</file>