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515AF" w14:textId="77777777" w:rsidR="00C25C51" w:rsidRPr="00C25C51" w:rsidRDefault="00C25C51" w:rsidP="00C25C5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25C51">
        <w:rPr>
          <w:rFonts w:ascii="Calibri" w:eastAsia="Times New Roman" w:hAnsi="Calibri" w:cs="Calibri"/>
          <w:b/>
          <w:bCs/>
          <w:color w:val="FF0000"/>
          <w:lang w:eastAsia="en-GB"/>
        </w:rPr>
        <w:t xml:space="preserve">53. Once daily oral </w:t>
      </w:r>
      <w:proofErr w:type="spellStart"/>
      <w:r w:rsidRPr="00C25C51">
        <w:rPr>
          <w:rFonts w:ascii="Calibri" w:eastAsia="Times New Roman" w:hAnsi="Calibri" w:cs="Calibri"/>
          <w:b/>
          <w:bCs/>
          <w:color w:val="FF0000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b/>
          <w:bCs/>
          <w:color w:val="FF0000"/>
          <w:lang w:eastAsia="en-GB"/>
        </w:rPr>
        <w:t xml:space="preserve"> combination therapy versus placebo in patients with endometriosis-associated pain: two replicate phase 3, randomised, double-blind, studies (SPIRIT 1 and 2) </w:t>
      </w:r>
    </w:p>
    <w:p w14:paraId="179D8284" w14:textId="77777777" w:rsidR="00C25C51" w:rsidRPr="00C25C51" w:rsidRDefault="00C25C51" w:rsidP="00C25C5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25C51">
        <w:rPr>
          <w:rFonts w:ascii="Calibri" w:eastAsia="Times New Roman" w:hAnsi="Calibri" w:cs="Calibri"/>
          <w:color w:val="006DBF"/>
          <w:lang w:eastAsia="en-GB"/>
        </w:rPr>
        <w:t>Linda C Giudice, Sawsan As-</w:t>
      </w:r>
      <w:proofErr w:type="spellStart"/>
      <w:r w:rsidRPr="00C25C51">
        <w:rPr>
          <w:rFonts w:ascii="Calibri" w:eastAsia="Times New Roman" w:hAnsi="Calibri" w:cs="Calibri"/>
          <w:color w:val="006DBF"/>
          <w:lang w:eastAsia="en-GB"/>
        </w:rPr>
        <w:t>Sanie</w:t>
      </w:r>
      <w:proofErr w:type="spellEnd"/>
      <w:r w:rsidRPr="00C25C51">
        <w:rPr>
          <w:rFonts w:ascii="Calibri" w:eastAsia="Times New Roman" w:hAnsi="Calibri" w:cs="Calibri"/>
          <w:color w:val="006DBF"/>
          <w:lang w:eastAsia="en-GB"/>
        </w:rPr>
        <w:t xml:space="preserve">, Juan C </w:t>
      </w:r>
      <w:proofErr w:type="spellStart"/>
      <w:r w:rsidRPr="00C25C51">
        <w:rPr>
          <w:rFonts w:ascii="Calibri" w:eastAsia="Times New Roman" w:hAnsi="Calibri" w:cs="Calibri"/>
          <w:color w:val="006DBF"/>
          <w:lang w:eastAsia="en-GB"/>
        </w:rPr>
        <w:t>Arjona</w:t>
      </w:r>
      <w:proofErr w:type="spellEnd"/>
      <w:r w:rsidRPr="00C25C51">
        <w:rPr>
          <w:rFonts w:ascii="Calibri" w:eastAsia="Times New Roman" w:hAnsi="Calibri" w:cs="Calibri"/>
          <w:color w:val="006DBF"/>
          <w:lang w:eastAsia="en-GB"/>
        </w:rPr>
        <w:t xml:space="preserve"> Ferreira, Christian M Becker, Mauricio S </w:t>
      </w:r>
      <w:proofErr w:type="spellStart"/>
      <w:proofErr w:type="gramStart"/>
      <w:r w:rsidRPr="00C25C51">
        <w:rPr>
          <w:rFonts w:ascii="Calibri" w:eastAsia="Times New Roman" w:hAnsi="Calibri" w:cs="Calibri"/>
          <w:color w:val="006DBF"/>
          <w:lang w:eastAsia="en-GB"/>
        </w:rPr>
        <w:t>Abrao,Bruce</w:t>
      </w:r>
      <w:proofErr w:type="spellEnd"/>
      <w:proofErr w:type="gramEnd"/>
      <w:r w:rsidRPr="00C25C51">
        <w:rPr>
          <w:rFonts w:ascii="Calibri" w:eastAsia="Times New Roman" w:hAnsi="Calibri" w:cs="Calibri"/>
          <w:color w:val="006DBF"/>
          <w:lang w:eastAsia="en-GB"/>
        </w:rPr>
        <w:t xml:space="preserve"> A </w:t>
      </w:r>
      <w:proofErr w:type="spellStart"/>
      <w:r w:rsidRPr="00C25C51">
        <w:rPr>
          <w:rFonts w:ascii="Calibri" w:eastAsia="Times New Roman" w:hAnsi="Calibri" w:cs="Calibri"/>
          <w:color w:val="006DBF"/>
          <w:lang w:eastAsia="en-GB"/>
        </w:rPr>
        <w:t>Lessey,Eric</w:t>
      </w:r>
      <w:proofErr w:type="spellEnd"/>
      <w:r w:rsidRPr="00C25C51">
        <w:rPr>
          <w:rFonts w:ascii="Calibri" w:eastAsia="Times New Roman" w:hAnsi="Calibri" w:cs="Calibri"/>
          <w:color w:val="006DBF"/>
          <w:lang w:eastAsia="en-GB"/>
        </w:rPr>
        <w:t xml:space="preserve"> </w:t>
      </w:r>
      <w:proofErr w:type="spellStart"/>
      <w:r w:rsidRPr="00C25C51">
        <w:rPr>
          <w:rFonts w:ascii="Calibri" w:eastAsia="Times New Roman" w:hAnsi="Calibri" w:cs="Calibri"/>
          <w:color w:val="006DBF"/>
          <w:lang w:eastAsia="en-GB"/>
        </w:rPr>
        <w:t>Brown,Krzysztof</w:t>
      </w:r>
      <w:proofErr w:type="spellEnd"/>
      <w:r w:rsidRPr="00C25C51">
        <w:rPr>
          <w:rFonts w:ascii="Calibri" w:eastAsia="Times New Roman" w:hAnsi="Calibri" w:cs="Calibri"/>
          <w:color w:val="006DBF"/>
          <w:lang w:eastAsia="en-GB"/>
        </w:rPr>
        <w:t xml:space="preserve"> </w:t>
      </w:r>
      <w:proofErr w:type="spellStart"/>
      <w:r w:rsidRPr="00C25C51">
        <w:rPr>
          <w:rFonts w:ascii="Calibri" w:eastAsia="Times New Roman" w:hAnsi="Calibri" w:cs="Calibri"/>
          <w:color w:val="006DBF"/>
          <w:lang w:eastAsia="en-GB"/>
        </w:rPr>
        <w:t>Dynowski,Krzysztof</w:t>
      </w:r>
      <w:proofErr w:type="spellEnd"/>
      <w:r w:rsidRPr="00C25C51">
        <w:rPr>
          <w:rFonts w:ascii="Calibri" w:eastAsia="Times New Roman" w:hAnsi="Calibri" w:cs="Calibri"/>
          <w:color w:val="006DBF"/>
          <w:lang w:eastAsia="en-GB"/>
        </w:rPr>
        <w:t xml:space="preserve"> </w:t>
      </w:r>
      <w:proofErr w:type="spellStart"/>
      <w:r w:rsidRPr="00C25C51">
        <w:rPr>
          <w:rFonts w:ascii="Calibri" w:eastAsia="Times New Roman" w:hAnsi="Calibri" w:cs="Calibri"/>
          <w:color w:val="006DBF"/>
          <w:lang w:eastAsia="en-GB"/>
        </w:rPr>
        <w:t>Wilk,Yulan</w:t>
      </w:r>
      <w:proofErr w:type="spellEnd"/>
      <w:r w:rsidRPr="00C25C51">
        <w:rPr>
          <w:rFonts w:ascii="Calibri" w:eastAsia="Times New Roman" w:hAnsi="Calibri" w:cs="Calibri"/>
          <w:color w:val="006DBF"/>
          <w:lang w:eastAsia="en-GB"/>
        </w:rPr>
        <w:t xml:space="preserve"> </w:t>
      </w:r>
      <w:proofErr w:type="spellStart"/>
      <w:r w:rsidRPr="00C25C51">
        <w:rPr>
          <w:rFonts w:ascii="Calibri" w:eastAsia="Times New Roman" w:hAnsi="Calibri" w:cs="Calibri"/>
          <w:color w:val="006DBF"/>
          <w:lang w:eastAsia="en-GB"/>
        </w:rPr>
        <w:t>Li,Vandana</w:t>
      </w:r>
      <w:proofErr w:type="spellEnd"/>
      <w:r w:rsidRPr="00C25C51">
        <w:rPr>
          <w:rFonts w:ascii="Calibri" w:eastAsia="Times New Roman" w:hAnsi="Calibri" w:cs="Calibri"/>
          <w:color w:val="006DBF"/>
          <w:lang w:eastAsia="en-GB"/>
        </w:rPr>
        <w:t xml:space="preserve"> Mathur, </w:t>
      </w:r>
      <w:proofErr w:type="spellStart"/>
      <w:r w:rsidRPr="00C25C51">
        <w:rPr>
          <w:rFonts w:ascii="Calibri" w:eastAsia="Times New Roman" w:hAnsi="Calibri" w:cs="Calibri"/>
          <w:color w:val="006DBF"/>
          <w:lang w:eastAsia="en-GB"/>
        </w:rPr>
        <w:t>Qurratul</w:t>
      </w:r>
      <w:proofErr w:type="spellEnd"/>
      <w:r w:rsidRPr="00C25C51">
        <w:rPr>
          <w:rFonts w:ascii="Calibri" w:eastAsia="Times New Roman" w:hAnsi="Calibri" w:cs="Calibri"/>
          <w:color w:val="006DBF"/>
          <w:lang w:eastAsia="en-GB"/>
        </w:rPr>
        <w:t xml:space="preserve"> Ann Warsi, Rachel B </w:t>
      </w:r>
      <w:proofErr w:type="spellStart"/>
      <w:r w:rsidRPr="00C25C51">
        <w:rPr>
          <w:rFonts w:ascii="Calibri" w:eastAsia="Times New Roman" w:hAnsi="Calibri" w:cs="Calibri"/>
          <w:color w:val="006DBF"/>
          <w:lang w:eastAsia="en-GB"/>
        </w:rPr>
        <w:t>Wagman</w:t>
      </w:r>
      <w:proofErr w:type="spellEnd"/>
      <w:r w:rsidRPr="00C25C51">
        <w:rPr>
          <w:rFonts w:ascii="Calibri" w:eastAsia="Times New Roman" w:hAnsi="Calibri" w:cs="Calibri"/>
          <w:color w:val="006DBF"/>
          <w:lang w:eastAsia="en-GB"/>
        </w:rPr>
        <w:t>, Neil P Johnson</w:t>
      </w:r>
      <w:r w:rsidRPr="00C25C51">
        <w:rPr>
          <w:rFonts w:ascii="Calibri" w:eastAsia="Times New Roman" w:hAnsi="Calibri" w:cs="Calibri"/>
          <w:color w:val="006DBF"/>
          <w:lang w:eastAsia="en-GB"/>
        </w:rPr>
        <w:br/>
        <w:t xml:space="preserve">Lancet.2022 Jun 18;399(10343):2267-2279.doi: 10.1016/S0140-6736(22)00622-5. </w:t>
      </w:r>
    </w:p>
    <w:p w14:paraId="10A4AE50" w14:textId="77777777" w:rsidR="00C25C51" w:rsidRPr="00C25C51" w:rsidRDefault="00C25C51" w:rsidP="00C25C5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25C51">
        <w:rPr>
          <w:rFonts w:ascii="Calibri" w:eastAsia="Times New Roman" w:hAnsi="Calibri" w:cs="Calibri"/>
          <w:b/>
          <w:bCs/>
          <w:color w:val="1E1E1E"/>
          <w:lang w:eastAsia="en-GB"/>
        </w:rPr>
        <w:t xml:space="preserve">Abstract </w:t>
      </w:r>
    </w:p>
    <w:p w14:paraId="18BFFAEC" w14:textId="77777777" w:rsidR="00C25C51" w:rsidRPr="00C25C51" w:rsidRDefault="00C25C51" w:rsidP="00C25C5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25C51">
        <w:rPr>
          <w:rFonts w:ascii="Calibri" w:eastAsia="Times New Roman" w:hAnsi="Calibri" w:cs="Calibri"/>
          <w:b/>
          <w:bCs/>
          <w:color w:val="1E1E1E"/>
          <w:lang w:eastAsia="en-GB"/>
        </w:rPr>
        <w:t xml:space="preserve">Background: </w:t>
      </w:r>
      <w:r w:rsidRPr="00C25C51">
        <w:rPr>
          <w:rFonts w:ascii="Calibri" w:eastAsia="Times New Roman" w:hAnsi="Calibri" w:cs="Calibri"/>
          <w:color w:val="1E1E1E"/>
          <w:lang w:eastAsia="en-GB"/>
        </w:rPr>
        <w:t xml:space="preserve">Endometriosis is a common cause of pelvic pain in women, for which current treatment options are suboptimal.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, an oral gonadotropin-releasing hormone receptor antagonist, combined with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estradiol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and a progestin, was evaluated for treatment of endometriosis-associated pain. </w:t>
      </w:r>
    </w:p>
    <w:p w14:paraId="1809EAA1" w14:textId="77777777" w:rsidR="00C25C51" w:rsidRPr="00C25C51" w:rsidRDefault="00C25C51" w:rsidP="00C25C5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25C51">
        <w:rPr>
          <w:rFonts w:ascii="Calibri" w:eastAsia="Times New Roman" w:hAnsi="Calibri" w:cs="Calibri"/>
          <w:b/>
          <w:bCs/>
          <w:color w:val="1E1E1E"/>
          <w:lang w:eastAsia="en-GB"/>
        </w:rPr>
        <w:t xml:space="preserve">Methods: </w:t>
      </w:r>
      <w:r w:rsidRPr="00C25C51">
        <w:rPr>
          <w:rFonts w:ascii="Calibri" w:eastAsia="Times New Roman" w:hAnsi="Calibri" w:cs="Calibri"/>
          <w:color w:val="1E1E1E"/>
          <w:lang w:eastAsia="en-GB"/>
        </w:rPr>
        <w:t xml:space="preserve">In </w:t>
      </w:r>
      <w:proofErr w:type="gramStart"/>
      <w:r w:rsidRPr="00C25C51">
        <w:rPr>
          <w:rFonts w:ascii="Calibri" w:eastAsia="Times New Roman" w:hAnsi="Calibri" w:cs="Calibri"/>
          <w:color w:val="1E1E1E"/>
          <w:lang w:eastAsia="en-GB"/>
        </w:rPr>
        <w:t>these two replicate</w:t>
      </w:r>
      <w:proofErr w:type="gram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, phase 3, multicentre, randomised, double-blind, placebo- controlled trials at 219 community and hospital research centres in Africa, Australasia, Europe, North America, and South America, we randomly assigned women aged 18-50 years with surgically or directly visualised endometriosis with or without histological confirmation, or with histological diagnosis alone. Participants were eligible if they had moderate to severe endometriosis-associated pain and, during the 35-day run-in period, a dysmenorrhoea Numerical Rating Scale (NRS) score of 4·0 or higher on two or more days and a mean non- menstrual pelvic pain NRS score of 2·5 or higher, or a mean score of 1·25 or higher that included a score of 5 or more on 4 or more days. Women received (1:1:1) once-daily oral placebo,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 (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40 mg,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estradiol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1 mg, norethisterone acetate 0·5 mg), or delayed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 (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40 mg monotherapy followed by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therapy, each for 12 weeks) for 24 weeks. During the double-blind randomised treatment and follow-up period, all patients, investigators, and sponsor staff or representatives involved in the conduct of the study were masked to treatment assignment. The co-primary endpoints were responder rates at week 24 for dysmenorrhoea and non-menstrual pelvic pain, both based on NRS scores and analgesic use. Efficacy and safety were analysed in the modified intent-to-treat population (randomised patients who received ≥1 study drug dose). The studies are registered at ClinicalTrials.gov (SPIRIT 1 [</w:t>
      </w:r>
      <w:r w:rsidRPr="00C25C51">
        <w:rPr>
          <w:rFonts w:ascii="Calibri" w:eastAsia="Times New Roman" w:hAnsi="Calibri" w:cs="Calibri"/>
          <w:color w:val="492B91"/>
          <w:lang w:eastAsia="en-GB"/>
        </w:rPr>
        <w:t>NCT03204318</w:t>
      </w:r>
      <w:r w:rsidRPr="00C25C51">
        <w:rPr>
          <w:rFonts w:ascii="Calibri" w:eastAsia="Times New Roman" w:hAnsi="Calibri" w:cs="Calibri"/>
          <w:color w:val="1E1E1E"/>
          <w:lang w:eastAsia="en-GB"/>
        </w:rPr>
        <w:t>] and SPIRIT 2 [</w:t>
      </w:r>
      <w:r w:rsidRPr="00C25C51">
        <w:rPr>
          <w:rFonts w:ascii="Calibri" w:eastAsia="Times New Roman" w:hAnsi="Calibri" w:cs="Calibri"/>
          <w:color w:val="492B91"/>
          <w:lang w:eastAsia="en-GB"/>
        </w:rPr>
        <w:t>NCT03204331</w:t>
      </w:r>
      <w:r w:rsidRPr="00C25C51">
        <w:rPr>
          <w:rFonts w:ascii="Calibri" w:eastAsia="Times New Roman" w:hAnsi="Calibri" w:cs="Calibri"/>
          <w:color w:val="1E1E1E"/>
          <w:lang w:eastAsia="en-GB"/>
        </w:rPr>
        <w:t>]) and EudraCT (SPIRIT 1 [2017-001588- 19] and SPIRIT 2 [2017-001632-19]). Eligible patients who completed the SPIRIT studies could enrol in a currently ongoing 80-week open-label extension study (SPIRIT EXTENSION [</w:t>
      </w:r>
      <w:r w:rsidRPr="00C25C51">
        <w:rPr>
          <w:rFonts w:ascii="Calibri" w:eastAsia="Times New Roman" w:hAnsi="Calibri" w:cs="Calibri"/>
          <w:color w:val="492B91"/>
          <w:lang w:eastAsia="en-GB"/>
        </w:rPr>
        <w:t>NCT03654274</w:t>
      </w:r>
      <w:r w:rsidRPr="00C25C51">
        <w:rPr>
          <w:rFonts w:ascii="Calibri" w:eastAsia="Times New Roman" w:hAnsi="Calibri" w:cs="Calibri"/>
          <w:color w:val="1E1E1E"/>
          <w:lang w:eastAsia="en-GB"/>
        </w:rPr>
        <w:t xml:space="preserve">, EudraCT 2017-004066-10]). Database lock for the on-treatment duration has occurred, and post-treatment follow-up for safety,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specificially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for bone mineral density and menses recovery, is ongoing at the time of publication. </w:t>
      </w:r>
    </w:p>
    <w:p w14:paraId="1BE5DFBB" w14:textId="66C3F156" w:rsidR="00C25C51" w:rsidRPr="00C25C51" w:rsidRDefault="00C25C51" w:rsidP="00C25C5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25C51">
        <w:rPr>
          <w:rFonts w:ascii="Calibri" w:eastAsia="Times New Roman" w:hAnsi="Calibri" w:cs="Calibri"/>
          <w:b/>
          <w:bCs/>
          <w:color w:val="1E1E1E"/>
          <w:lang w:eastAsia="en-GB"/>
        </w:rPr>
        <w:t xml:space="preserve">Findings: </w:t>
      </w:r>
      <w:r w:rsidRPr="00C25C51">
        <w:rPr>
          <w:rFonts w:ascii="Calibri" w:eastAsia="Times New Roman" w:hAnsi="Calibri" w:cs="Calibri"/>
          <w:color w:val="1E1E1E"/>
          <w:lang w:eastAsia="en-GB"/>
        </w:rPr>
        <w:t xml:space="preserve">638 patients were enrolled into SPIRIT 1 and randomly assigned between Dec 7, 2017, and Dec 4, 2019, to receive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 (212 [33%]), placebo (213 [33%]), or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delayed combination therapy (213 [33%]). 623 patients were enrolled into SPIRIT 2 and were randomly assigned between Nov 1, </w:t>
      </w:r>
      <w:proofErr w:type="gramStart"/>
      <w:r w:rsidRPr="00C25C51">
        <w:rPr>
          <w:rFonts w:ascii="Calibri" w:eastAsia="Times New Roman" w:hAnsi="Calibri" w:cs="Calibri"/>
          <w:color w:val="1E1E1E"/>
          <w:lang w:eastAsia="en-GB"/>
        </w:rPr>
        <w:t>2017</w:t>
      </w:r>
      <w:proofErr w:type="gram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and Oct 4, 2019, to receive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 (208 [33%]), placebo (208 [33%]), or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delayed combination therapy (207 [33%]). 98 (15%) patients terminated study participation early in </w:t>
      </w:r>
      <w:r w:rsidRPr="00C25C51">
        <w:rPr>
          <w:rFonts w:ascii="Calibri" w:eastAsia="Times New Roman" w:hAnsi="Calibri" w:cs="Calibri"/>
          <w:color w:val="1E1E1E"/>
          <w:lang w:eastAsia="en-GB"/>
        </w:rPr>
        <w:lastRenderedPageBreak/>
        <w:t xml:space="preserve">SPIRIT 1 and 115 (18%) in SPIRIT 2. In SPIRIT 1, 158 (75%) of 212 patients in the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</w:t>
      </w:r>
      <w:r>
        <w:rPr>
          <w:rFonts w:ascii="Calibri" w:eastAsia="Times New Roman" w:hAnsi="Calibri" w:cs="Calibri"/>
          <w:color w:val="1E1E1E"/>
          <w:lang w:eastAsia="en-GB"/>
        </w:rPr>
        <w:t>x</w:t>
      </w:r>
      <w:proofErr w:type="spellEnd"/>
      <w:r>
        <w:rPr>
          <w:rFonts w:ascii="Times New Roman" w:eastAsia="Times New Roman" w:hAnsi="Times New Roman" w:cs="Times New Roman"/>
          <w:lang w:eastAsia="en-GB"/>
        </w:rPr>
        <w:t xml:space="preserve"> </w:t>
      </w:r>
      <w:r w:rsidRPr="00C25C51">
        <w:rPr>
          <w:rFonts w:ascii="Calibri" w:eastAsia="Times New Roman" w:hAnsi="Calibri" w:cs="Calibri"/>
          <w:color w:val="1E1E1E"/>
          <w:lang w:eastAsia="en-GB"/>
        </w:rPr>
        <w:t xml:space="preserve">combination therapy group met the dysmenorrhoea responder criteria compared with 57 (27%) of 212 patients in the placebo group (treatment difference 47·6% [95% CI 39·3-56·0]; p&lt;0·0001). In SPIRIT 2, 155 (75%) of 206 patients in the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 group were dysmenorrhoea responders compared with 62 (30%) of 204 patients in the placebo group (treatment difference 44·9% [95% CI 36·2-53·5]; p&lt;0·0001). In SPIRIT 1, 124 (58%) of 212 patients in the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 group met the non-menstrual pelvic pain responder criteria versus 84 (40%) patients in the placebo group (treatment difference 18·9% [9·5-28·2]; p&lt;0·0001). In SPIRIT 2, 136 (66%) of 206 patients were non-menstrual pelvic pain responders in the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 group compared with 87 (43%) of 204 patients in the placebo group (treatment difference 23·4% [95% CI 13·9-32·8]; p&lt;0·0001). The most common adverse events were headache, nasopharyngitis, and hot flushes. There were nine reports of suicidal ideation across both studies (two in the placebo run-in, two in the placebo group, two in the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 group, and three in the delayed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 group). No deaths were reported. Least squares mean percentage change in lumbar spine bone mineral density in the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 versus placebo groups was -0·70% versus 0·21% in SPIRIT 1 and -0·78% versus 0·02% in SPIRIT 2, and in the delayed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group was -2·0% in SPIRIT 1 and -1·9% in SPIRIT 2. Decreases in opioid use were seen in treated patients as compared with placebo. </w:t>
      </w:r>
    </w:p>
    <w:p w14:paraId="5CC4D150" w14:textId="77777777" w:rsidR="00C25C51" w:rsidRPr="00C25C51" w:rsidRDefault="00C25C51" w:rsidP="00C25C5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25C51">
        <w:rPr>
          <w:rFonts w:ascii="Calibri" w:eastAsia="Times New Roman" w:hAnsi="Calibri" w:cs="Calibri"/>
          <w:b/>
          <w:bCs/>
          <w:color w:val="1E1E1E"/>
          <w:lang w:eastAsia="en-GB"/>
        </w:rPr>
        <w:t xml:space="preserve">Interpretation: </w:t>
      </w:r>
      <w:r w:rsidRPr="00C25C51">
        <w:rPr>
          <w:rFonts w:ascii="Calibri" w:eastAsia="Times New Roman" w:hAnsi="Calibri" w:cs="Calibri"/>
          <w:color w:val="1E1E1E"/>
          <w:lang w:eastAsia="en-GB"/>
        </w:rPr>
        <w:t xml:space="preserve">Once-daily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relugolix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combination therapy significantly improved endometriosis-associated pain and was well tolerated. This oral therapy has the potential to address the unmet clinical need for long-term medical treatment for endometriosis, reducing the need for opioid use or repeated surgical treatment. </w:t>
      </w:r>
    </w:p>
    <w:p w14:paraId="059ED5BD" w14:textId="77777777" w:rsidR="00C25C51" w:rsidRPr="00C25C51" w:rsidRDefault="00C25C51" w:rsidP="00C25C5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25C51">
        <w:rPr>
          <w:rFonts w:ascii="Calibri" w:eastAsia="Times New Roman" w:hAnsi="Calibri" w:cs="Calibri"/>
          <w:b/>
          <w:bCs/>
          <w:color w:val="1E1E1E"/>
          <w:lang w:eastAsia="en-GB"/>
        </w:rPr>
        <w:t xml:space="preserve">Funding: </w:t>
      </w:r>
      <w:proofErr w:type="spellStart"/>
      <w:r w:rsidRPr="00C25C51">
        <w:rPr>
          <w:rFonts w:ascii="Calibri" w:eastAsia="Times New Roman" w:hAnsi="Calibri" w:cs="Calibri"/>
          <w:color w:val="1E1E1E"/>
          <w:lang w:eastAsia="en-GB"/>
        </w:rPr>
        <w:t>Myovant</w:t>
      </w:r>
      <w:proofErr w:type="spellEnd"/>
      <w:r w:rsidRPr="00C25C51">
        <w:rPr>
          <w:rFonts w:ascii="Calibri" w:eastAsia="Times New Roman" w:hAnsi="Calibri" w:cs="Calibri"/>
          <w:color w:val="1E1E1E"/>
          <w:lang w:eastAsia="en-GB"/>
        </w:rPr>
        <w:t xml:space="preserve"> Sciences. </w:t>
      </w:r>
    </w:p>
    <w:p w14:paraId="47C8CB6C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C51"/>
    <w:rsid w:val="001C7F88"/>
    <w:rsid w:val="00432D50"/>
    <w:rsid w:val="00875F78"/>
    <w:rsid w:val="00A74000"/>
    <w:rsid w:val="00B02158"/>
    <w:rsid w:val="00BE7B39"/>
    <w:rsid w:val="00C25C51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1EDF90"/>
  <w15:chartTrackingRefBased/>
  <w15:docId w15:val="{EB602FEC-0EEA-A742-9B9A-E5C2F9958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25C5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4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3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8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754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97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818</Words>
  <Characters>4663</Characters>
  <Application>Microsoft Office Word</Application>
  <DocSecurity>0</DocSecurity>
  <Lines>38</Lines>
  <Paragraphs>10</Paragraphs>
  <ScaleCrop>false</ScaleCrop>
  <Company/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2022-07-30T17:43:00Z</dcterms:created>
  <dcterms:modified xsi:type="dcterms:W3CDTF">2022-07-30T17:44:00Z</dcterms:modified>
</cp:coreProperties>
</file>