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15AF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53. Once daily oral </w:t>
      </w:r>
      <w:proofErr w:type="spellStart"/>
      <w:r w:rsidRPr="00C25C51">
        <w:rPr>
          <w:rFonts w:ascii="Calibri" w:eastAsia="Times New Roman" w:hAnsi="Calibri" w:cs="Calibri"/>
          <w:b/>
          <w:bCs/>
          <w:color w:val="FF0000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combination therapy versus placebo in patients with endometriosis-associated pain: two replicate phase 3, randomised, double-blind, studies (SPIRIT 1 and 2) </w:t>
      </w:r>
    </w:p>
    <w:p w14:paraId="179D8284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color w:val="006DBF"/>
          <w:lang w:eastAsia="en-GB"/>
        </w:rPr>
        <w:t>Linda C Giudice, Sawsan As-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Sanie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, Juan C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Arjona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Ferreira, Christian M Becker, Mauricio S </w:t>
      </w:r>
      <w:proofErr w:type="spellStart"/>
      <w:proofErr w:type="gramStart"/>
      <w:r w:rsidRPr="00C25C51">
        <w:rPr>
          <w:rFonts w:ascii="Calibri" w:eastAsia="Times New Roman" w:hAnsi="Calibri" w:cs="Calibri"/>
          <w:color w:val="006DBF"/>
          <w:lang w:eastAsia="en-GB"/>
        </w:rPr>
        <w:t>Abrao,Bruce</w:t>
      </w:r>
      <w:proofErr w:type="spellEnd"/>
      <w:proofErr w:type="gram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A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Lessey,Eric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Brown,Krzysztof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Dynowski,Krzysztof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Wilk,Yulan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Li,Vandana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Mathur,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Qurratul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 xml:space="preserve"> Ann Warsi, Rachel B </w:t>
      </w:r>
      <w:proofErr w:type="spellStart"/>
      <w:r w:rsidRPr="00C25C51">
        <w:rPr>
          <w:rFonts w:ascii="Calibri" w:eastAsia="Times New Roman" w:hAnsi="Calibri" w:cs="Calibri"/>
          <w:color w:val="006DBF"/>
          <w:lang w:eastAsia="en-GB"/>
        </w:rPr>
        <w:t>Wagman</w:t>
      </w:r>
      <w:proofErr w:type="spellEnd"/>
      <w:r w:rsidRPr="00C25C51">
        <w:rPr>
          <w:rFonts w:ascii="Calibri" w:eastAsia="Times New Roman" w:hAnsi="Calibri" w:cs="Calibri"/>
          <w:color w:val="006DBF"/>
          <w:lang w:eastAsia="en-GB"/>
        </w:rPr>
        <w:t>, Neil P Johnson</w:t>
      </w:r>
      <w:r w:rsidRPr="00C25C51">
        <w:rPr>
          <w:rFonts w:ascii="Calibri" w:eastAsia="Times New Roman" w:hAnsi="Calibri" w:cs="Calibri"/>
          <w:color w:val="006DBF"/>
          <w:lang w:eastAsia="en-GB"/>
        </w:rPr>
        <w:br/>
        <w:t xml:space="preserve">Lancet.2022 Jun 18;399(10343):2267-2279.doi: 10.1016/S0140-6736(22)00622-5. </w:t>
      </w:r>
    </w:p>
    <w:p w14:paraId="10A4AE50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Abstract </w:t>
      </w:r>
    </w:p>
    <w:p w14:paraId="18BFFAEC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Background: 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Endometriosis is a common cause of pelvic pain in women, for which current treatment options are suboptimal.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, an oral gonadotropin-releasing hormone receptor antagonist, combined with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estradiol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and a progestin, was evaluated for treatment of endometriosis-associated pain. </w:t>
      </w:r>
    </w:p>
    <w:p w14:paraId="1809EAA1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Methods: 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In </w:t>
      </w:r>
      <w:proofErr w:type="gramStart"/>
      <w:r w:rsidRPr="00C25C51">
        <w:rPr>
          <w:rFonts w:ascii="Calibri" w:eastAsia="Times New Roman" w:hAnsi="Calibri" w:cs="Calibri"/>
          <w:color w:val="1E1E1E"/>
          <w:lang w:eastAsia="en-GB"/>
        </w:rPr>
        <w:t>these two replicate</w:t>
      </w:r>
      <w:proofErr w:type="gram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, phase 3, multicentre, randomised, double-blind, placebo- controlled trials at 219 community and hospital research centres in Africa, Australasia, Europe, North America, and South America, we randomly assigned women aged 18-50 years with surgically or directly visualised endometriosis with or without histological confirmation, or with histological diagnosis alone. Participants were eligible if they had moderate to severe endometriosis-associated pain and, during the 35-day run-in period, a dysmenorrhoea Numerical Rating Scale (NRS) score of 4·0 or higher on two or more days and a mean non- menstrual pelvic pain NRS score of 2·5 or higher, or a mean score of 1·25 or higher that included a score of 5 or more on 4 or more days. Women received (1:1:1) once-daily oral placebo,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(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40 mg,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estradiol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1 mg, norethisterone acetate 0·5 mg), or delayed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(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40 mg monotherapy followed by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therapy, each for 12 weeks) for 24 weeks. During the double-blind randomised treatment and follow-up period, all patients, investigators, and sponsor staff or representatives involved in the conduct of the study were masked to treatment assignment. The co-primary endpoints were responder rates at week 24 for dysmenorrhoea and non-menstrual pelvic pain, both based on NRS scores and analgesic use. Efficacy and safety were analysed in the modified intent-to-treat population (randomised patients who received ≥1 study drug dose). The studies are registered at ClinicalTrials.gov (SPIRIT 1 [</w:t>
      </w:r>
      <w:r w:rsidRPr="00C25C51">
        <w:rPr>
          <w:rFonts w:ascii="Calibri" w:eastAsia="Times New Roman" w:hAnsi="Calibri" w:cs="Calibri"/>
          <w:color w:val="492B91"/>
          <w:lang w:eastAsia="en-GB"/>
        </w:rPr>
        <w:t>NCT03204318</w:t>
      </w:r>
      <w:r w:rsidRPr="00C25C51">
        <w:rPr>
          <w:rFonts w:ascii="Calibri" w:eastAsia="Times New Roman" w:hAnsi="Calibri" w:cs="Calibri"/>
          <w:color w:val="1E1E1E"/>
          <w:lang w:eastAsia="en-GB"/>
        </w:rPr>
        <w:t>] and SPIRIT 2 [</w:t>
      </w:r>
      <w:r w:rsidRPr="00C25C51">
        <w:rPr>
          <w:rFonts w:ascii="Calibri" w:eastAsia="Times New Roman" w:hAnsi="Calibri" w:cs="Calibri"/>
          <w:color w:val="492B91"/>
          <w:lang w:eastAsia="en-GB"/>
        </w:rPr>
        <w:t>NCT03204331</w:t>
      </w:r>
      <w:r w:rsidRPr="00C25C51">
        <w:rPr>
          <w:rFonts w:ascii="Calibri" w:eastAsia="Times New Roman" w:hAnsi="Calibri" w:cs="Calibri"/>
          <w:color w:val="1E1E1E"/>
          <w:lang w:eastAsia="en-GB"/>
        </w:rPr>
        <w:t>]) and EudraCT (SPIRIT 1 [2017-001588- 19] and SPIRIT 2 [2017-001632-19]). Eligible patients who completed the SPIRIT studies could enrol in a currently ongoing 80-week open-label extension study (SPIRIT EXTENSION [</w:t>
      </w:r>
      <w:r w:rsidRPr="00C25C51">
        <w:rPr>
          <w:rFonts w:ascii="Calibri" w:eastAsia="Times New Roman" w:hAnsi="Calibri" w:cs="Calibri"/>
          <w:color w:val="492B91"/>
          <w:lang w:eastAsia="en-GB"/>
        </w:rPr>
        <w:t>NCT03654274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, EudraCT 2017-004066-10]). Database lock for the on-treatment duration has occurred, and post-treatment follow-up for safety,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specificially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for bone mineral density and menses recovery, is ongoing at the time of publication. </w:t>
      </w:r>
    </w:p>
    <w:p w14:paraId="1BE5DFBB" w14:textId="66C3F156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Findings: 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638 patients were enrolled into SPIRIT 1 and randomly assigned between Dec 7, 2017, and Dec 4, 2019, to receive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(212 [33%]), placebo (213 [33%]), or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delayed combination therapy (213 [33%]). 623 patients were enrolled into SPIRIT 2 and were randomly assigned between Nov 1, </w:t>
      </w:r>
      <w:proofErr w:type="gramStart"/>
      <w:r w:rsidRPr="00C25C51">
        <w:rPr>
          <w:rFonts w:ascii="Calibri" w:eastAsia="Times New Roman" w:hAnsi="Calibri" w:cs="Calibri"/>
          <w:color w:val="1E1E1E"/>
          <w:lang w:eastAsia="en-GB"/>
        </w:rPr>
        <w:t>2017</w:t>
      </w:r>
      <w:proofErr w:type="gram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and Oct 4, 2019, to receive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(208 [33%]), placebo (208 [33%]), or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delayed combination therapy (207 [33%]). 98 (15%) patients terminated study participation early in </w:t>
      </w:r>
      <w:r w:rsidRPr="00C25C51">
        <w:rPr>
          <w:rFonts w:ascii="Calibri" w:eastAsia="Times New Roman" w:hAnsi="Calibri" w:cs="Calibri"/>
          <w:color w:val="1E1E1E"/>
          <w:lang w:eastAsia="en-GB"/>
        </w:rPr>
        <w:lastRenderedPageBreak/>
        <w:t xml:space="preserve">SPIRIT 1 and 115 (18%) in SPIRIT 2. In SPIRIT 1, 158 (75%) of 212 patients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</w:t>
      </w:r>
      <w:r>
        <w:rPr>
          <w:rFonts w:ascii="Calibri" w:eastAsia="Times New Roman" w:hAnsi="Calibri" w:cs="Calibri"/>
          <w:color w:val="1E1E1E"/>
          <w:lang w:eastAsia="en-GB"/>
        </w:rPr>
        <w:t>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combination therapy group met the dysmenorrhoea responder criteria compared with 57 (27%) of 212 patients in the placebo group (treatment difference 47·6% [95% CI 39·3-56·0]; p&lt;0·0001). In SPIRIT 2, 155 (75%) of 206 patients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group were dysmenorrhoea responders compared with 62 (30%) of 204 patients in the placebo group (treatment difference 44·9% [95% CI 36·2-53·5]; p&lt;0·0001). In SPIRIT 1, 124 (58%) of 212 patients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group met the non-menstrual pelvic pain responder criteria versus 84 (40%) patients in the placebo group (treatment difference 18·9% [9·5-28·2]; p&lt;0·0001). In SPIRIT 2, 136 (66%) of 206 patients were non-menstrual pelvic pain responders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group compared with 87 (43%) of 204 patients in the placebo group (treatment difference 23·4% [95% CI 13·9-32·8]; p&lt;0·0001). The most common adverse events were headache, nasopharyngitis, and hot flushes. There were nine reports of suicidal ideation across both studies (two in the placebo run-in, two in the placebo group, two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group, and three in the delayed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group). No deaths were reported. Least squares mean percentage change in lumbar spine bone mineral density in the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versus placebo groups was -0·70% versus 0·21% in SPIRIT 1 and -0·78% versus 0·02% in SPIRIT 2, and in the delayed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group was -2·0% in SPIRIT 1 and -1·9% in SPIRIT 2. Decreases in opioid use were seen in treated patients as compared with placebo. </w:t>
      </w:r>
    </w:p>
    <w:p w14:paraId="5CC4D150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Interpretation: </w:t>
      </w:r>
      <w:r w:rsidRPr="00C25C51">
        <w:rPr>
          <w:rFonts w:ascii="Calibri" w:eastAsia="Times New Roman" w:hAnsi="Calibri" w:cs="Calibri"/>
          <w:color w:val="1E1E1E"/>
          <w:lang w:eastAsia="en-GB"/>
        </w:rPr>
        <w:t xml:space="preserve">Once-daily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relugolix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combination therapy significantly improved endometriosis-associated pain and was well tolerated. This oral therapy has the potential to address the unmet clinical need for long-term medical treatment for endometriosis, reducing the need for opioid use or repeated surgical treatment. </w:t>
      </w:r>
    </w:p>
    <w:p w14:paraId="059ED5BD" w14:textId="77777777" w:rsidR="00C25C51" w:rsidRPr="00C25C51" w:rsidRDefault="00C25C51" w:rsidP="00C25C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25C51">
        <w:rPr>
          <w:rFonts w:ascii="Calibri" w:eastAsia="Times New Roman" w:hAnsi="Calibri" w:cs="Calibri"/>
          <w:b/>
          <w:bCs/>
          <w:color w:val="1E1E1E"/>
          <w:lang w:eastAsia="en-GB"/>
        </w:rPr>
        <w:t xml:space="preserve">Funding: </w:t>
      </w:r>
      <w:proofErr w:type="spellStart"/>
      <w:r w:rsidRPr="00C25C51">
        <w:rPr>
          <w:rFonts w:ascii="Calibri" w:eastAsia="Times New Roman" w:hAnsi="Calibri" w:cs="Calibri"/>
          <w:color w:val="1E1E1E"/>
          <w:lang w:eastAsia="en-GB"/>
        </w:rPr>
        <w:t>Myovant</w:t>
      </w:r>
      <w:proofErr w:type="spellEnd"/>
      <w:r w:rsidRPr="00C25C51">
        <w:rPr>
          <w:rFonts w:ascii="Calibri" w:eastAsia="Times New Roman" w:hAnsi="Calibri" w:cs="Calibri"/>
          <w:color w:val="1E1E1E"/>
          <w:lang w:eastAsia="en-GB"/>
        </w:rPr>
        <w:t xml:space="preserve"> Sciences. </w:t>
      </w:r>
    </w:p>
    <w:p w14:paraId="47C8CB6C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1"/>
    <w:rsid w:val="001C7F88"/>
    <w:rsid w:val="00432D50"/>
    <w:rsid w:val="00875F78"/>
    <w:rsid w:val="00A74000"/>
    <w:rsid w:val="00B02158"/>
    <w:rsid w:val="00BE7B39"/>
    <w:rsid w:val="00C25C51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EDF90"/>
  <w15:chartTrackingRefBased/>
  <w15:docId w15:val="{EB602FEC-0EEA-A742-9B9A-E5C2F995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2022-07-30T17:43:00Z</dcterms:created>
  <dcterms:modified xsi:type="dcterms:W3CDTF">2022-07-30T17:44:00Z</dcterms:modified>
</cp:coreProperties>
</file>