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28E09" w14:textId="77777777" w:rsidR="00B825B8" w:rsidRPr="00A853C1" w:rsidRDefault="00B825B8" w:rsidP="00B825B8">
      <w:pPr>
        <w:pStyle w:val="Heading1"/>
        <w:ind w:left="720"/>
        <w:rPr>
          <w:sz w:val="24"/>
          <w:szCs w:val="24"/>
        </w:rPr>
      </w:pPr>
      <w:r w:rsidRPr="00A853C1">
        <w:rPr>
          <w:sz w:val="24"/>
          <w:szCs w:val="24"/>
        </w:rPr>
        <w:t>Urinary tract endometriosis: how to predict and prevent recurrence after primary surgical excision</w:t>
      </w:r>
    </w:p>
    <w:p w14:paraId="06AFDBC5" w14:textId="77777777" w:rsidR="00B825B8" w:rsidRPr="00A853C1" w:rsidRDefault="00B825B8" w:rsidP="00B825B8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Fabrizio Di Maida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Luca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Lambertini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Antonio Andrea Grosso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Andrea Mari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Silvia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Vannuccini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Tommaso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Capezzuoli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Massimiliano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Fambrini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Felice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Petraglia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3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Andrea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Minervini</w:t>
        </w:r>
        <w:proofErr w:type="spellEnd"/>
      </w:hyperlink>
    </w:p>
    <w:p w14:paraId="238EC8A5" w14:textId="77777777" w:rsidR="00B825B8" w:rsidRPr="00696C63" w:rsidRDefault="00B825B8" w:rsidP="00B825B8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>J Minim Invasive Gynecol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 xml:space="preserve">2022 Jul 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8;S</w:t>
      </w:r>
      <w:proofErr w:type="gramEnd"/>
      <w:r w:rsidRPr="00A853C1">
        <w:rPr>
          <w:rStyle w:val="cit"/>
          <w:rFonts w:ascii="Times New Roman" w:hAnsi="Times New Roman" w:cs="Times New Roman"/>
          <w:color w:val="5B616B"/>
        </w:rPr>
        <w:t>1553-4650(22)00270-9.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10.1016/j.jmig.2022.07.004.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37B41EA2" w14:textId="77777777" w:rsidR="00B825B8" w:rsidRPr="00A853C1" w:rsidRDefault="00B825B8" w:rsidP="00B825B8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14080BA4" w14:textId="77777777" w:rsidR="00B825B8" w:rsidRPr="00A853C1" w:rsidRDefault="00B825B8" w:rsidP="00B825B8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13B33D71" w14:textId="77777777" w:rsidR="00B825B8" w:rsidRPr="00A853C1" w:rsidRDefault="00B825B8" w:rsidP="00B825B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Objective: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To investigate the clinical and surgical predictors of urinary tract endometriosis (UTE) relapse DESIGN: Retrospective single-institutional study SETTING: Italian multidisciplinary referral </w:t>
      </w:r>
      <w:proofErr w:type="spellStart"/>
      <w:r w:rsidRPr="00A853C1">
        <w:rPr>
          <w:color w:val="212121"/>
        </w:rPr>
        <w:t>center</w:t>
      </w:r>
      <w:proofErr w:type="spellEnd"/>
      <w:r w:rsidRPr="00A853C1">
        <w:rPr>
          <w:color w:val="212121"/>
        </w:rPr>
        <w:t xml:space="preserve"> for endometriosis PATIENTS: Consecutive patients affected by with urinary tract endometriosis (UTE) and surgically treated between January 2016 and March 2020.</w:t>
      </w:r>
    </w:p>
    <w:p w14:paraId="5E48C7A1" w14:textId="77777777" w:rsidR="00B825B8" w:rsidRPr="00A853C1" w:rsidRDefault="00B825B8" w:rsidP="00B825B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Intervention(s):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Surgical excision for UTE MAIN OUTCOME MEASURE(S): Recurrence was defined as the presence of histologically confirmed endometriosis relapse after primary treatment. Uni- and multivariate logistic regression analysis to evaluate clinical and surgical predictors of recurrence were fitted.</w:t>
      </w:r>
    </w:p>
    <w:p w14:paraId="291F5271" w14:textId="77777777" w:rsidR="00B825B8" w:rsidRPr="00A853C1" w:rsidRDefault="00B825B8" w:rsidP="00B825B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105 female age-reproductive patients were enrolled. Median age was 32 (IQR 24-37) years. Ureteral involvement was recorded in 53 (50.5%) patients, being unilateral and bilateral in 46 (43.8%) and 7 (6.7%), respectively. Bladder involvement occurred in 52 (49.5%) patients. Open surgical approach was performed in 24 (22.9%) cases, while 30 (28.5%) and 51 (48.6%) patients were treated with laparoscopic and robot-assisted approach, respectively. Overall, 53 (50.5%) patients received adjuvant hormonal therapy. At a median follow up of 39 (IQR 22-51) months, 30 (28.6%) patients experienced disease relapse, with 14 (13.3%) recurrences recorded at the level of the urinary tract. At multivariable analysis, age at first surgery &lt;25 years (OR: 1.23; CI 95% 1.10-1.84; p=0.02) and concomitant autoimmune disease (OR: 1.45; CI 95% 1.24-2.17; p=0.02) were found as predictors of DIE recurrence, while adjuvant postsurgical therapy showed a protective role (OR: 0.83; CI 95% 0.53-0.98; p=0.01).</w:t>
      </w:r>
    </w:p>
    <w:p w14:paraId="31AA828E" w14:textId="77777777" w:rsidR="00B825B8" w:rsidRPr="00A853C1" w:rsidRDefault="00B825B8" w:rsidP="00B825B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Young age (&lt;25 years) and the presence of autoimmune disease were significant predictors for the development of disease recurrence, while adjuvant hormonal therapy showed a protective role.</w:t>
      </w:r>
    </w:p>
    <w:p w14:paraId="755F62B1" w14:textId="77777777" w:rsidR="00B825B8" w:rsidRPr="00A853C1" w:rsidRDefault="00B825B8" w:rsidP="00B825B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Deep infiltrating endometriosis; Hormonal therapy; Predictors; Recurrence; Urinary endometriosis.</w:t>
      </w:r>
    </w:p>
    <w:p w14:paraId="3BFEC1E5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5B8"/>
    <w:rsid w:val="001C7F88"/>
    <w:rsid w:val="00432D50"/>
    <w:rsid w:val="00875F78"/>
    <w:rsid w:val="00A74000"/>
    <w:rsid w:val="00B02158"/>
    <w:rsid w:val="00B825B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8E3E2B"/>
  <w15:chartTrackingRefBased/>
  <w15:docId w15:val="{81D9503D-21DA-6645-96A7-ACFF5ED4F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5B8"/>
  </w:style>
  <w:style w:type="paragraph" w:styleId="Heading1">
    <w:name w:val="heading 1"/>
    <w:basedOn w:val="Normal"/>
    <w:link w:val="Heading1Char"/>
    <w:uiPriority w:val="9"/>
    <w:qFormat/>
    <w:rsid w:val="00B825B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25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25B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25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B825B8"/>
    <w:rPr>
      <w:color w:val="0000FF"/>
      <w:u w:val="single"/>
    </w:rPr>
  </w:style>
  <w:style w:type="character" w:customStyle="1" w:styleId="period">
    <w:name w:val="period"/>
    <w:basedOn w:val="DefaultParagraphFont"/>
    <w:rsid w:val="00B825B8"/>
  </w:style>
  <w:style w:type="character" w:customStyle="1" w:styleId="apple-converted-space">
    <w:name w:val="apple-converted-space"/>
    <w:basedOn w:val="DefaultParagraphFont"/>
    <w:rsid w:val="00B825B8"/>
  </w:style>
  <w:style w:type="character" w:customStyle="1" w:styleId="cit">
    <w:name w:val="cit"/>
    <w:basedOn w:val="DefaultParagraphFont"/>
    <w:rsid w:val="00B825B8"/>
  </w:style>
  <w:style w:type="character" w:customStyle="1" w:styleId="citation-doi">
    <w:name w:val="citation-doi"/>
    <w:basedOn w:val="DefaultParagraphFont"/>
    <w:rsid w:val="00B825B8"/>
  </w:style>
  <w:style w:type="character" w:customStyle="1" w:styleId="ahead-of-print">
    <w:name w:val="ahead-of-print"/>
    <w:basedOn w:val="DefaultParagraphFont"/>
    <w:rsid w:val="00B825B8"/>
  </w:style>
  <w:style w:type="character" w:customStyle="1" w:styleId="comma">
    <w:name w:val="comma"/>
    <w:basedOn w:val="DefaultParagraphFont"/>
    <w:rsid w:val="00B825B8"/>
  </w:style>
  <w:style w:type="character" w:styleId="Strong">
    <w:name w:val="Strong"/>
    <w:basedOn w:val="DefaultParagraphFont"/>
    <w:uiPriority w:val="22"/>
    <w:qFormat/>
    <w:rsid w:val="00B825B8"/>
    <w:rPr>
      <w:b/>
      <w:bCs/>
    </w:rPr>
  </w:style>
  <w:style w:type="paragraph" w:styleId="NormalWeb">
    <w:name w:val="Normal (Web)"/>
    <w:basedOn w:val="Normal"/>
    <w:uiPriority w:val="99"/>
    <w:unhideWhenUsed/>
    <w:rsid w:val="00B825B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Mari+A&amp;cauthor_id=35817366" TargetMode="External"/><Relationship Id="rId13" Type="http://schemas.openxmlformats.org/officeDocument/2006/relationships/hyperlink" Target="https://pubmed.ncbi.nlm.nih.gov/?term=Minervini+A&amp;cauthor_id=3581736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Grosso+AA&amp;cauthor_id=35817366" TargetMode="External"/><Relationship Id="rId12" Type="http://schemas.openxmlformats.org/officeDocument/2006/relationships/hyperlink" Target="https://pubmed.ncbi.nlm.nih.gov/?term=Petraglia+F&amp;cauthor_id=3581736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Lambertini+L&amp;cauthor_id=35817366" TargetMode="External"/><Relationship Id="rId11" Type="http://schemas.openxmlformats.org/officeDocument/2006/relationships/hyperlink" Target="https://pubmed.ncbi.nlm.nih.gov/?term=Fambrini+M&amp;cauthor_id=35817366" TargetMode="External"/><Relationship Id="rId5" Type="http://schemas.openxmlformats.org/officeDocument/2006/relationships/hyperlink" Target="https://pubmed.ncbi.nlm.nih.gov/?term=Maida+FD&amp;cauthor_id=35817366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pubmed.ncbi.nlm.nih.gov/?term=Capezzuoli+T&amp;cauthor_id=3581736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Vannuccini+S&amp;cauthor_id=3581736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2022-08-02T12:18:00Z</dcterms:created>
  <dcterms:modified xsi:type="dcterms:W3CDTF">2022-08-02T12:18:00Z</dcterms:modified>
</cp:coreProperties>
</file>