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04682A" w14:textId="77777777" w:rsidR="00E41BA0" w:rsidRPr="00A853C1" w:rsidRDefault="00E41BA0" w:rsidP="00E41BA0">
      <w:pPr>
        <w:pStyle w:val="Heading1"/>
        <w:ind w:left="928"/>
        <w:rPr>
          <w:sz w:val="24"/>
          <w:szCs w:val="24"/>
        </w:rPr>
      </w:pPr>
      <w:r w:rsidRPr="00A853C1">
        <w:rPr>
          <w:sz w:val="24"/>
          <w:szCs w:val="24"/>
        </w:rPr>
        <w:t xml:space="preserve">Systemic pharmacological verification of </w:t>
      </w:r>
      <w:proofErr w:type="spellStart"/>
      <w:r w:rsidRPr="00A853C1">
        <w:rPr>
          <w:sz w:val="24"/>
          <w:szCs w:val="24"/>
        </w:rPr>
        <w:t>Guizhi</w:t>
      </w:r>
      <w:proofErr w:type="spellEnd"/>
      <w:r w:rsidRPr="00A853C1">
        <w:rPr>
          <w:sz w:val="24"/>
          <w:szCs w:val="24"/>
        </w:rPr>
        <w:t xml:space="preserve"> </w:t>
      </w:r>
      <w:proofErr w:type="spellStart"/>
      <w:r w:rsidRPr="00A853C1">
        <w:rPr>
          <w:sz w:val="24"/>
          <w:szCs w:val="24"/>
        </w:rPr>
        <w:t>Fuling</w:t>
      </w:r>
      <w:proofErr w:type="spellEnd"/>
      <w:r w:rsidRPr="00A853C1">
        <w:rPr>
          <w:sz w:val="24"/>
          <w:szCs w:val="24"/>
        </w:rPr>
        <w:t xml:space="preserve"> decoction in treating endometriosis-associated pain</w:t>
      </w:r>
    </w:p>
    <w:p w14:paraId="311CE694" w14:textId="77777777" w:rsidR="00E41BA0" w:rsidRPr="00A853C1" w:rsidRDefault="00E41BA0" w:rsidP="00E41BA0">
      <w:pPr>
        <w:rPr>
          <w:rFonts w:ascii="Times New Roman" w:hAnsi="Times New Roman" w:cs="Times New Roman"/>
          <w:color w:val="5B616B"/>
        </w:rPr>
      </w:pPr>
      <w:hyperlink r:id="rId5" w:history="1">
        <w:r w:rsidRPr="00A853C1">
          <w:rPr>
            <w:rStyle w:val="Hyperlink"/>
            <w:rFonts w:ascii="Times New Roman" w:hAnsi="Times New Roman" w:cs="Times New Roman"/>
            <w:color w:val="0071BC"/>
          </w:rPr>
          <w:t>Yang Gao</w:t>
        </w:r>
      </w:hyperlink>
      <w:r w:rsidRPr="00A853C1">
        <w:rPr>
          <w:rStyle w:val="comma"/>
          <w:rFonts w:ascii="Times New Roman" w:hAnsi="Times New Roman" w:cs="Times New Roman"/>
          <w:color w:val="5B616B"/>
        </w:rPr>
        <w:t>, </w:t>
      </w:r>
      <w:hyperlink r:id="rId6" w:history="1">
        <w:r w:rsidRPr="00A853C1">
          <w:rPr>
            <w:rStyle w:val="Hyperlink"/>
            <w:rFonts w:ascii="Times New Roman" w:hAnsi="Times New Roman" w:cs="Times New Roman"/>
            <w:color w:val="0071BC"/>
          </w:rPr>
          <w:t>Wenjing Ji</w:t>
        </w:r>
      </w:hyperlink>
      <w:r w:rsidRPr="00A853C1">
        <w:rPr>
          <w:rStyle w:val="comma"/>
          <w:rFonts w:ascii="Times New Roman" w:hAnsi="Times New Roman" w:cs="Times New Roman"/>
          <w:color w:val="5B616B"/>
        </w:rPr>
        <w:t>, </w:t>
      </w:r>
      <w:hyperlink r:id="rId7" w:history="1">
        <w:r w:rsidRPr="00A853C1">
          <w:rPr>
            <w:rStyle w:val="Hyperlink"/>
            <w:rFonts w:ascii="Times New Roman" w:hAnsi="Times New Roman" w:cs="Times New Roman"/>
            <w:color w:val="0071BC"/>
          </w:rPr>
          <w:t>Man Lu</w:t>
        </w:r>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"https://pubmed.ncbi.nlm.nih.gov/?term=Wang+Z&amp;cauthor_id=35870685"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Zhiheng</w:t>
      </w:r>
      <w:proofErr w:type="spellEnd"/>
      <w:r w:rsidRPr="00A853C1">
        <w:rPr>
          <w:rStyle w:val="Hyperlink"/>
          <w:rFonts w:ascii="Times New Roman" w:hAnsi="Times New Roman" w:cs="Times New Roman"/>
          <w:color w:val="0071BC"/>
        </w:rPr>
        <w:t xml:space="preserve"> Wang</w:t>
      </w:r>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"https://pubmed.ncbi.nlm.nih.gov/?term=Jia+X&amp;cauthor_id=35870685"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Xurui</w:t>
      </w:r>
      <w:proofErr w:type="spellEnd"/>
      <w:r w:rsidRPr="00A853C1">
        <w:rPr>
          <w:rStyle w:val="Hyperlink"/>
          <w:rFonts w:ascii="Times New Roman" w:hAnsi="Times New Roman" w:cs="Times New Roman"/>
          <w:color w:val="0071BC"/>
        </w:rPr>
        <w:t xml:space="preserve"> Jia</w:t>
      </w:r>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"https://pubmed.ncbi.nlm.nih.gov/?term=Wang+D&amp;cauthor_id=35870685"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Dawei</w:t>
      </w:r>
      <w:proofErr w:type="spellEnd"/>
      <w:r w:rsidRPr="00A853C1">
        <w:rPr>
          <w:rStyle w:val="Hyperlink"/>
          <w:rFonts w:ascii="Times New Roman" w:hAnsi="Times New Roman" w:cs="Times New Roman"/>
          <w:color w:val="0071BC"/>
        </w:rPr>
        <w:t xml:space="preserve"> Wang</w:t>
      </w:r>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hyperlink r:id="rId8" w:history="1">
        <w:r w:rsidRPr="00A853C1">
          <w:rPr>
            <w:rStyle w:val="Hyperlink"/>
            <w:rFonts w:ascii="Times New Roman" w:hAnsi="Times New Roman" w:cs="Times New Roman"/>
            <w:color w:val="0071BC"/>
          </w:rPr>
          <w:t>Peng Cao</w:t>
        </w:r>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"https://pubmed.ncbi.nlm.nih.gov/?term=Hu+C&amp;cauthor_id=35870685"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Chunping</w:t>
      </w:r>
      <w:proofErr w:type="spellEnd"/>
      <w:r w:rsidRPr="00A853C1">
        <w:rPr>
          <w:rStyle w:val="Hyperlink"/>
          <w:rFonts w:ascii="Times New Roman" w:hAnsi="Times New Roman" w:cs="Times New Roman"/>
          <w:color w:val="0071BC"/>
        </w:rPr>
        <w:t xml:space="preserve"> Hu</w:t>
      </w:r>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hyperlink r:id="rId9" w:history="1">
        <w:proofErr w:type="spellStart"/>
        <w:r w:rsidRPr="00A853C1">
          <w:rPr>
            <w:rStyle w:val="Hyperlink"/>
            <w:rFonts w:ascii="Times New Roman" w:hAnsi="Times New Roman" w:cs="Times New Roman"/>
            <w:color w:val="0071BC"/>
          </w:rPr>
          <w:t>Xiaoyan</w:t>
        </w:r>
        <w:proofErr w:type="spellEnd"/>
        <w:r w:rsidRPr="00A853C1">
          <w:rPr>
            <w:rStyle w:val="Hyperlink"/>
            <w:rFonts w:ascii="Times New Roman" w:hAnsi="Times New Roman" w:cs="Times New Roman"/>
            <w:color w:val="0071BC"/>
          </w:rPr>
          <w:t xml:space="preserve"> Sun</w:t>
        </w:r>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"https://pubmed.ncbi.nlm.nih.gov/?term=Wang+Z&amp;cauthor_id=35870685"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Zhigang</w:t>
      </w:r>
      <w:proofErr w:type="spellEnd"/>
      <w:r w:rsidRPr="00A853C1">
        <w:rPr>
          <w:rStyle w:val="Hyperlink"/>
          <w:rFonts w:ascii="Times New Roman" w:hAnsi="Times New Roman" w:cs="Times New Roman"/>
          <w:color w:val="0071BC"/>
        </w:rPr>
        <w:t xml:space="preserve"> Wang</w:t>
      </w:r>
      <w:r w:rsidRPr="00A853C1">
        <w:rPr>
          <w:rStyle w:val="authors-list-item"/>
          <w:rFonts w:ascii="Times New Roman" w:hAnsi="Times New Roman" w:cs="Times New Roman"/>
          <w:color w:val="5B616B"/>
        </w:rPr>
        <w:fldChar w:fldCharType="end"/>
      </w:r>
    </w:p>
    <w:p w14:paraId="3CC69501" w14:textId="77777777" w:rsidR="00E41BA0" w:rsidRPr="00FA19EA" w:rsidRDefault="00E41BA0" w:rsidP="00E41BA0">
      <w:pPr>
        <w:rPr>
          <w:rFonts w:ascii="Times New Roman" w:hAnsi="Times New Roman" w:cs="Times New Roman"/>
          <w:color w:val="5B616B"/>
        </w:rPr>
      </w:pPr>
      <w:r w:rsidRPr="00A853C1">
        <w:rPr>
          <w:rFonts w:ascii="Times New Roman" w:hAnsi="Times New Roman" w:cs="Times New Roman"/>
          <w:color w:val="5B616B"/>
        </w:rPr>
        <w:t xml:space="preserve">J </w:t>
      </w:r>
      <w:proofErr w:type="spellStart"/>
      <w:r w:rsidRPr="00A853C1">
        <w:rPr>
          <w:rFonts w:ascii="Times New Roman" w:hAnsi="Times New Roman" w:cs="Times New Roman"/>
          <w:color w:val="5B616B"/>
        </w:rPr>
        <w:t>Ethnopharmacol</w:t>
      </w:r>
      <w:proofErr w:type="spellEnd"/>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 xml:space="preserve">2022 Jul </w:t>
      </w:r>
      <w:proofErr w:type="gramStart"/>
      <w:r w:rsidRPr="00A853C1">
        <w:rPr>
          <w:rStyle w:val="cit"/>
          <w:rFonts w:ascii="Times New Roman" w:hAnsi="Times New Roman" w:cs="Times New Roman"/>
          <w:color w:val="5B616B"/>
        </w:rPr>
        <w:t>20;297:115540</w:t>
      </w:r>
      <w:proofErr w:type="gramEnd"/>
      <w:r w:rsidRPr="00A853C1">
        <w:rPr>
          <w:rStyle w:val="cit"/>
          <w:rFonts w:ascii="Times New Roman" w:hAnsi="Times New Roman" w:cs="Times New Roman"/>
          <w:color w:val="5B616B"/>
        </w:rPr>
        <w:t>.</w:t>
      </w:r>
      <w:r w:rsidRPr="00A853C1">
        <w:rPr>
          <w:rStyle w:val="apple-converted-space"/>
          <w:rFonts w:ascii="Times New Roman" w:hAnsi="Times New Roman" w:cs="Times New Roman"/>
        </w:rPr>
        <w:t> </w:t>
      </w:r>
      <w:proofErr w:type="spellStart"/>
      <w:r w:rsidRPr="00A853C1">
        <w:rPr>
          <w:rStyle w:val="citation-doi"/>
          <w:rFonts w:ascii="Times New Roman" w:hAnsi="Times New Roman" w:cs="Times New Roman"/>
          <w:color w:val="5B616B"/>
        </w:rPr>
        <w:t>doi</w:t>
      </w:r>
      <w:proofErr w:type="spellEnd"/>
      <w:r w:rsidRPr="00A853C1">
        <w:rPr>
          <w:rStyle w:val="citation-doi"/>
          <w:rFonts w:ascii="Times New Roman" w:hAnsi="Times New Roman" w:cs="Times New Roman"/>
          <w:color w:val="5B616B"/>
        </w:rPr>
        <w:t>: 10.1016/j.jep.2022.115540.</w:t>
      </w:r>
      <w:r w:rsidRPr="00A853C1">
        <w:rPr>
          <w:rStyle w:val="ahead-of-print"/>
          <w:rFonts w:ascii="Times New Roman" w:hAnsi="Times New Roman" w:cs="Times New Roman"/>
          <w:color w:val="5B616B"/>
        </w:rPr>
        <w:t>Online ahead of print.</w:t>
      </w:r>
    </w:p>
    <w:p w14:paraId="294F2E04" w14:textId="77777777" w:rsidR="00E41BA0" w:rsidRDefault="00E41BA0" w:rsidP="00E41BA0">
      <w:pPr>
        <w:pStyle w:val="Heading2"/>
        <w:rPr>
          <w:rFonts w:ascii="Times New Roman" w:hAnsi="Times New Roman" w:cs="Times New Roman"/>
          <w:color w:val="212121"/>
          <w:sz w:val="24"/>
          <w:szCs w:val="24"/>
        </w:rPr>
      </w:pPr>
    </w:p>
    <w:p w14:paraId="5DA52372" w14:textId="77777777" w:rsidR="00E41BA0" w:rsidRPr="00A853C1" w:rsidRDefault="00E41BA0" w:rsidP="00E41BA0">
      <w:pPr>
        <w:pStyle w:val="Heading2"/>
        <w:rPr>
          <w:rFonts w:ascii="Times New Roman" w:hAnsi="Times New Roman" w:cs="Times New Roman"/>
          <w:color w:val="212121"/>
          <w:sz w:val="24"/>
          <w:szCs w:val="24"/>
        </w:rPr>
      </w:pPr>
      <w:r w:rsidRPr="00A853C1">
        <w:rPr>
          <w:rFonts w:ascii="Times New Roman" w:hAnsi="Times New Roman" w:cs="Times New Roman"/>
          <w:color w:val="212121"/>
          <w:sz w:val="24"/>
          <w:szCs w:val="24"/>
        </w:rPr>
        <w:t>Abstract</w:t>
      </w:r>
    </w:p>
    <w:p w14:paraId="234DBE02" w14:textId="77777777" w:rsidR="00E41BA0" w:rsidRPr="00A853C1" w:rsidRDefault="00E41BA0" w:rsidP="00E41BA0">
      <w:pPr>
        <w:pStyle w:val="NormalWeb"/>
        <w:rPr>
          <w:color w:val="212121"/>
        </w:rPr>
      </w:pPr>
      <w:r w:rsidRPr="00A853C1">
        <w:rPr>
          <w:rStyle w:val="Strong"/>
          <w:color w:val="212121"/>
        </w:rPr>
        <w:t>Ethnopharmacological relevance:</w:t>
      </w:r>
      <w:r w:rsidRPr="00A853C1">
        <w:rPr>
          <w:rStyle w:val="apple-converted-space"/>
          <w:b/>
          <w:bCs/>
          <w:color w:val="212121"/>
        </w:rPr>
        <w:t> </w:t>
      </w:r>
      <w:proofErr w:type="spellStart"/>
      <w:r w:rsidRPr="00A853C1">
        <w:rPr>
          <w:color w:val="212121"/>
        </w:rPr>
        <w:t>Guizhi</w:t>
      </w:r>
      <w:proofErr w:type="spellEnd"/>
      <w:r w:rsidRPr="00A853C1">
        <w:rPr>
          <w:color w:val="212121"/>
        </w:rPr>
        <w:t xml:space="preserve"> </w:t>
      </w:r>
      <w:proofErr w:type="spellStart"/>
      <w:r w:rsidRPr="00A853C1">
        <w:rPr>
          <w:color w:val="212121"/>
        </w:rPr>
        <w:t>Fuling</w:t>
      </w:r>
      <w:proofErr w:type="spellEnd"/>
      <w:r w:rsidRPr="00A853C1">
        <w:rPr>
          <w:color w:val="212121"/>
        </w:rPr>
        <w:t xml:space="preserve"> decoction (GZFL decoction) is a famous formula in the Synopsis of the Golden Chamber, which has a long history in treating endometriosis. However, its exact mechanism remains unclear.</w:t>
      </w:r>
    </w:p>
    <w:p w14:paraId="787F1449" w14:textId="77777777" w:rsidR="00E41BA0" w:rsidRPr="00A853C1" w:rsidRDefault="00E41BA0" w:rsidP="00E41BA0">
      <w:pPr>
        <w:pStyle w:val="NormalWeb"/>
        <w:rPr>
          <w:color w:val="212121"/>
        </w:rPr>
      </w:pPr>
      <w:r w:rsidRPr="00A853C1">
        <w:rPr>
          <w:rStyle w:val="Strong"/>
          <w:color w:val="212121"/>
        </w:rPr>
        <w:t>Aim of study:</w:t>
      </w:r>
      <w:r w:rsidRPr="00A853C1">
        <w:rPr>
          <w:rStyle w:val="apple-converted-space"/>
          <w:b/>
          <w:bCs/>
          <w:color w:val="212121"/>
        </w:rPr>
        <w:t> </w:t>
      </w:r>
      <w:r w:rsidRPr="00A853C1">
        <w:rPr>
          <w:color w:val="212121"/>
        </w:rPr>
        <w:t>This study aims to explore the mechanism of GZFL decoction in treating endometriosis, especially in alleviating endometriosis-associated pain.</w:t>
      </w:r>
    </w:p>
    <w:p w14:paraId="3E3A3240" w14:textId="77777777" w:rsidR="00E41BA0" w:rsidRPr="00A853C1" w:rsidRDefault="00E41BA0" w:rsidP="00E41BA0">
      <w:pPr>
        <w:pStyle w:val="NormalWeb"/>
        <w:rPr>
          <w:color w:val="212121"/>
        </w:rPr>
      </w:pPr>
      <w:r w:rsidRPr="00A853C1">
        <w:rPr>
          <w:rStyle w:val="Strong"/>
          <w:color w:val="212121"/>
        </w:rPr>
        <w:t>Materials and methods:</w:t>
      </w:r>
      <w:r w:rsidRPr="00A853C1">
        <w:rPr>
          <w:rStyle w:val="apple-converted-space"/>
          <w:b/>
          <w:bCs/>
          <w:color w:val="212121"/>
        </w:rPr>
        <w:t> </w:t>
      </w:r>
      <w:r w:rsidRPr="00A853C1">
        <w:rPr>
          <w:color w:val="212121"/>
        </w:rPr>
        <w:t xml:space="preserve">A combination of system pharmacology and pharmacodynamics was used to explore the specific mechanism of GZFL decoction in the treatment of endometriosis-associated pain. First, the TCMSP database was used to search the components of the GZFL decoction; the parameter index was set as oral bioavailability (OB) ≥ 30% and drug-likeness (DL) ≥ 0.18, while the active ingredients of the drug were screened out. The disease targets of endometriosis were obtained from the TTD, OMIM, </w:t>
      </w:r>
      <w:proofErr w:type="spellStart"/>
      <w:r w:rsidRPr="00A853C1">
        <w:rPr>
          <w:color w:val="212121"/>
        </w:rPr>
        <w:t>Genecards</w:t>
      </w:r>
      <w:proofErr w:type="spellEnd"/>
      <w:r w:rsidRPr="00A853C1">
        <w:rPr>
          <w:color w:val="212121"/>
        </w:rPr>
        <w:t xml:space="preserve">, and </w:t>
      </w:r>
      <w:proofErr w:type="spellStart"/>
      <w:r w:rsidRPr="00A853C1">
        <w:rPr>
          <w:color w:val="212121"/>
        </w:rPr>
        <w:t>DisGeNET</w:t>
      </w:r>
      <w:proofErr w:type="spellEnd"/>
      <w:r w:rsidRPr="00A853C1">
        <w:rPr>
          <w:color w:val="212121"/>
        </w:rPr>
        <w:t xml:space="preserve"> databases; the keyword was "endometriosis pain". Network construction and analysis were performed using </w:t>
      </w:r>
      <w:proofErr w:type="spellStart"/>
      <w:r w:rsidRPr="00A853C1">
        <w:rPr>
          <w:color w:val="212121"/>
        </w:rPr>
        <w:t>Cytoscape</w:t>
      </w:r>
      <w:proofErr w:type="spellEnd"/>
      <w:r w:rsidRPr="00A853C1">
        <w:rPr>
          <w:color w:val="212121"/>
        </w:rPr>
        <w:t xml:space="preserve"> 3.7.2 software; the David database was used to enrich and </w:t>
      </w:r>
      <w:proofErr w:type="spellStart"/>
      <w:r w:rsidRPr="00A853C1">
        <w:rPr>
          <w:color w:val="212121"/>
        </w:rPr>
        <w:t>analyze</w:t>
      </w:r>
      <w:proofErr w:type="spellEnd"/>
      <w:r w:rsidRPr="00A853C1">
        <w:rPr>
          <w:color w:val="212121"/>
        </w:rPr>
        <w:t xml:space="preserve"> the pathways for alleviating endometriosis pain after GZFL decoction treatment. In addition, the network results were verified using experimental animal and cell research.</w:t>
      </w:r>
    </w:p>
    <w:p w14:paraId="59A6934C" w14:textId="77777777" w:rsidR="00E41BA0" w:rsidRPr="00A853C1" w:rsidRDefault="00E41BA0" w:rsidP="00E41BA0">
      <w:pPr>
        <w:pStyle w:val="NormalWeb"/>
        <w:rPr>
          <w:color w:val="212121"/>
        </w:rPr>
      </w:pPr>
      <w:r w:rsidRPr="00A853C1">
        <w:rPr>
          <w:rStyle w:val="Strong"/>
          <w:color w:val="212121"/>
        </w:rPr>
        <w:t>Results:</w:t>
      </w:r>
      <w:r w:rsidRPr="00A853C1">
        <w:rPr>
          <w:rStyle w:val="apple-converted-space"/>
          <w:b/>
          <w:bCs/>
          <w:color w:val="212121"/>
        </w:rPr>
        <w:t> </w:t>
      </w:r>
      <w:r w:rsidRPr="00A853C1">
        <w:rPr>
          <w:color w:val="212121"/>
        </w:rPr>
        <w:t xml:space="preserve">The results showed the following targets: 76 for the effective chemical components in the prescription, 1329 for disease pain, and 278 for the intersection of drugs and endometriosis pain. The enrichment results for these targets showed that the TNF-PI3K/Akt pathway exhibited research significance. In endometriosis rat models, the GZFL decoction reduced the volume of lesions and relieved pain symptoms. It also reduced the serum levels of IL-6, IL-1β, and TNF-α as well as their expression in the lesion tissues. The GZFL decoction also suppressed the activation of PI3K/Akt downstream </w:t>
      </w:r>
      <w:proofErr w:type="spellStart"/>
      <w:r w:rsidRPr="00A853C1">
        <w:rPr>
          <w:color w:val="212121"/>
        </w:rPr>
        <w:t>signaling</w:t>
      </w:r>
      <w:proofErr w:type="spellEnd"/>
      <w:r w:rsidRPr="00A853C1">
        <w:rPr>
          <w:color w:val="212121"/>
        </w:rPr>
        <w:t xml:space="preserve"> proteins.</w:t>
      </w:r>
    </w:p>
    <w:p w14:paraId="666DA07A" w14:textId="77777777" w:rsidR="00E41BA0" w:rsidRPr="00A853C1" w:rsidRDefault="00E41BA0" w:rsidP="00E41BA0">
      <w:pPr>
        <w:pStyle w:val="NormalWeb"/>
        <w:rPr>
          <w:color w:val="212121"/>
        </w:rPr>
      </w:pPr>
      <w:r w:rsidRPr="00A853C1">
        <w:rPr>
          <w:rStyle w:val="Strong"/>
          <w:color w:val="212121"/>
        </w:rPr>
        <w:t>Conclusions:</w:t>
      </w:r>
      <w:r w:rsidRPr="00A853C1">
        <w:rPr>
          <w:rStyle w:val="apple-converted-space"/>
          <w:b/>
          <w:bCs/>
          <w:color w:val="212121"/>
        </w:rPr>
        <w:t> </w:t>
      </w:r>
      <w:r w:rsidRPr="00A853C1">
        <w:rPr>
          <w:color w:val="212121"/>
        </w:rPr>
        <w:t>GZFL decoction could reduce the volume of lesions, suppress inflammation, and decrease the sensitivity to pain in endometriosis rat models through inhibiting PI3K/Akt pathway. This study provides a possible target for traditional Chinese medicine in treating endometriosis-associated pain.</w:t>
      </w:r>
    </w:p>
    <w:p w14:paraId="16B2484E" w14:textId="77777777" w:rsidR="00E41BA0" w:rsidRPr="00A853C1" w:rsidRDefault="00E41BA0" w:rsidP="00E41BA0">
      <w:pPr>
        <w:pStyle w:val="NormalWeb"/>
        <w:rPr>
          <w:color w:val="212121"/>
        </w:rPr>
      </w:pPr>
      <w:r w:rsidRPr="00A853C1">
        <w:rPr>
          <w:rStyle w:val="Strong"/>
          <w:color w:val="212121"/>
        </w:rPr>
        <w:t>Keywords:</w:t>
      </w:r>
      <w:r w:rsidRPr="00A853C1">
        <w:rPr>
          <w:rStyle w:val="apple-converted-space"/>
          <w:b/>
          <w:bCs/>
          <w:color w:val="212121"/>
        </w:rPr>
        <w:t> </w:t>
      </w:r>
      <w:r w:rsidRPr="00A853C1">
        <w:rPr>
          <w:color w:val="212121"/>
        </w:rPr>
        <w:t xml:space="preserve">Endometriosis; </w:t>
      </w:r>
      <w:proofErr w:type="spellStart"/>
      <w:r w:rsidRPr="00A853C1">
        <w:rPr>
          <w:color w:val="212121"/>
        </w:rPr>
        <w:t>Guizhi</w:t>
      </w:r>
      <w:proofErr w:type="spellEnd"/>
      <w:r w:rsidRPr="00A853C1">
        <w:rPr>
          <w:color w:val="212121"/>
        </w:rPr>
        <w:t xml:space="preserve"> </w:t>
      </w:r>
      <w:proofErr w:type="spellStart"/>
      <w:r w:rsidRPr="00A853C1">
        <w:rPr>
          <w:color w:val="212121"/>
        </w:rPr>
        <w:t>fuling</w:t>
      </w:r>
      <w:proofErr w:type="spellEnd"/>
      <w:r w:rsidRPr="00A853C1">
        <w:rPr>
          <w:color w:val="212121"/>
        </w:rPr>
        <w:t xml:space="preserve"> decoction; Molecular docking; Pain; Systems pharmacology.</w:t>
      </w:r>
    </w:p>
    <w:p w14:paraId="00D6B94C"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928"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1BA0"/>
    <w:rsid w:val="001C7F88"/>
    <w:rsid w:val="00432D50"/>
    <w:rsid w:val="00875F78"/>
    <w:rsid w:val="00A74000"/>
    <w:rsid w:val="00B02158"/>
    <w:rsid w:val="00BE7B39"/>
    <w:rsid w:val="00D10F9D"/>
    <w:rsid w:val="00D30F83"/>
    <w:rsid w:val="00D7461F"/>
    <w:rsid w:val="00DB67B4"/>
    <w:rsid w:val="00E41BA0"/>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ED95D79"/>
  <w15:chartTrackingRefBased/>
  <w15:docId w15:val="{83E7BA27-0D49-134F-8DFD-225C27301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1BA0"/>
  </w:style>
  <w:style w:type="paragraph" w:styleId="Heading1">
    <w:name w:val="heading 1"/>
    <w:basedOn w:val="Normal"/>
    <w:link w:val="Heading1Char"/>
    <w:uiPriority w:val="9"/>
    <w:qFormat/>
    <w:rsid w:val="00E41BA0"/>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E41BA0"/>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1BA0"/>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E41BA0"/>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E41BA0"/>
    <w:rPr>
      <w:color w:val="0000FF"/>
      <w:u w:val="single"/>
    </w:rPr>
  </w:style>
  <w:style w:type="character" w:customStyle="1" w:styleId="period">
    <w:name w:val="period"/>
    <w:basedOn w:val="DefaultParagraphFont"/>
    <w:rsid w:val="00E41BA0"/>
  </w:style>
  <w:style w:type="character" w:customStyle="1" w:styleId="apple-converted-space">
    <w:name w:val="apple-converted-space"/>
    <w:basedOn w:val="DefaultParagraphFont"/>
    <w:rsid w:val="00E41BA0"/>
  </w:style>
  <w:style w:type="character" w:customStyle="1" w:styleId="cit">
    <w:name w:val="cit"/>
    <w:basedOn w:val="DefaultParagraphFont"/>
    <w:rsid w:val="00E41BA0"/>
  </w:style>
  <w:style w:type="character" w:customStyle="1" w:styleId="citation-doi">
    <w:name w:val="citation-doi"/>
    <w:basedOn w:val="DefaultParagraphFont"/>
    <w:rsid w:val="00E41BA0"/>
  </w:style>
  <w:style w:type="character" w:customStyle="1" w:styleId="ahead-of-print">
    <w:name w:val="ahead-of-print"/>
    <w:basedOn w:val="DefaultParagraphFont"/>
    <w:rsid w:val="00E41BA0"/>
  </w:style>
  <w:style w:type="character" w:customStyle="1" w:styleId="authors-list-item">
    <w:name w:val="authors-list-item"/>
    <w:basedOn w:val="DefaultParagraphFont"/>
    <w:rsid w:val="00E41BA0"/>
  </w:style>
  <w:style w:type="character" w:customStyle="1" w:styleId="comma">
    <w:name w:val="comma"/>
    <w:basedOn w:val="DefaultParagraphFont"/>
    <w:rsid w:val="00E41BA0"/>
  </w:style>
  <w:style w:type="character" w:styleId="Strong">
    <w:name w:val="Strong"/>
    <w:basedOn w:val="DefaultParagraphFont"/>
    <w:uiPriority w:val="22"/>
    <w:qFormat/>
    <w:rsid w:val="00E41BA0"/>
    <w:rPr>
      <w:b/>
      <w:bCs/>
    </w:rPr>
  </w:style>
  <w:style w:type="paragraph" w:styleId="NormalWeb">
    <w:name w:val="Normal (Web)"/>
    <w:basedOn w:val="Normal"/>
    <w:uiPriority w:val="99"/>
    <w:unhideWhenUsed/>
    <w:rsid w:val="00E41BA0"/>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term=Cao+P&amp;cauthor_id=35870685" TargetMode="External"/><Relationship Id="rId3" Type="http://schemas.openxmlformats.org/officeDocument/2006/relationships/settings" Target="settings.xml"/><Relationship Id="rId7" Type="http://schemas.openxmlformats.org/officeDocument/2006/relationships/hyperlink" Target="https://pubmed.ncbi.nlm.nih.gov/?term=Lu+M&amp;cauthor_id=35870685"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term=Ji+W&amp;cauthor_id=35870685" TargetMode="External"/><Relationship Id="rId11" Type="http://schemas.openxmlformats.org/officeDocument/2006/relationships/theme" Target="theme/theme1.xml"/><Relationship Id="rId5" Type="http://schemas.openxmlformats.org/officeDocument/2006/relationships/hyperlink" Target="https://pubmed.ncbi.nlm.nih.gov/?term=Gao+Y&amp;cauthor_id=35870685"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pubmed.ncbi.nlm.nih.gov/?term=Sun+X&amp;cauthor_id=3587068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509</Words>
  <Characters>2903</Characters>
  <Application>Microsoft Office Word</Application>
  <DocSecurity>0</DocSecurity>
  <Lines>24</Lines>
  <Paragraphs>6</Paragraphs>
  <ScaleCrop>false</ScaleCrop>
  <Company/>
  <LinksUpToDate>false</LinksUpToDate>
  <CharactersWithSpaces>3406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2022-08-02T12:50:00Z</dcterms:created>
  <dcterms:modified xsi:type="dcterms:W3CDTF">2022-08-02T12:51:00Z</dcterms:modified>
</cp:coreProperties>
</file>