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003E7" w14:textId="77777777" w:rsidR="00F20D5E" w:rsidRPr="00A853C1" w:rsidRDefault="00F20D5E" w:rsidP="00F20D5E">
      <w:pPr>
        <w:pStyle w:val="Heading1"/>
        <w:ind w:left="928"/>
        <w:rPr>
          <w:sz w:val="24"/>
          <w:szCs w:val="24"/>
        </w:rPr>
      </w:pPr>
      <w:r w:rsidRPr="00A853C1">
        <w:rPr>
          <w:sz w:val="24"/>
          <w:szCs w:val="24"/>
        </w:rPr>
        <w:t>mRNA, lncRNA and Circular RNA Expression Profiles in Granulosa Cells of Infertile Women with Ovarian Endometriosis</w:t>
      </w:r>
    </w:p>
    <w:p w14:paraId="42E28910" w14:textId="77777777" w:rsidR="00F20D5E" w:rsidRPr="00A853C1" w:rsidRDefault="00F20D5E" w:rsidP="00F20D5E">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Jiayi</w:t>
        </w:r>
        <w:proofErr w:type="spellEnd"/>
        <w:r w:rsidRPr="00A853C1">
          <w:rPr>
            <w:rStyle w:val="Hyperlink"/>
            <w:rFonts w:ascii="Times New Roman" w:hAnsi="Times New Roman" w:cs="Times New Roman"/>
            <w:color w:val="0071BC"/>
          </w:rPr>
          <w:t xml:space="preserve"> Guo</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"https://pubmed.ncbi.nlm.nih.gov/?term=Zeng+H&amp;cauthor_id=35799021"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Haitao</w:t>
      </w:r>
      <w:proofErr w:type="spellEnd"/>
      <w:r w:rsidRPr="00A853C1">
        <w:rPr>
          <w:rStyle w:val="Hyperlink"/>
          <w:rFonts w:ascii="Times New Roman" w:hAnsi="Times New Roman" w:cs="Times New Roman"/>
          <w:color w:val="0071BC"/>
        </w:rPr>
        <w:t xml:space="preserve"> Zeng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"https://pubmed.ncbi.nlm.nih.gov/?term=Li+T&amp;cauthor_id=35799021"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Tingting</w:t>
      </w:r>
      <w:proofErr w:type="spellEnd"/>
      <w:r w:rsidRPr="00A853C1">
        <w:rPr>
          <w:rStyle w:val="Hyperlink"/>
          <w:rFonts w:ascii="Times New Roman" w:hAnsi="Times New Roman" w:cs="Times New Roman"/>
          <w:color w:val="0071BC"/>
        </w:rPr>
        <w:t xml:space="preserve"> Li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"https://pubmed.ncbi.nlm.nih.gov/?term=Liang+X&amp;cauthor_id=35799021" </w:instrText>
      </w:r>
      <w:r>
        <w:fldChar w:fldCharType="separate"/>
      </w:r>
      <w:r w:rsidRPr="00A853C1">
        <w:rPr>
          <w:rStyle w:val="Hyperlink"/>
          <w:rFonts w:ascii="Times New Roman" w:hAnsi="Times New Roman" w:cs="Times New Roman"/>
          <w:color w:val="0071BC"/>
        </w:rPr>
        <w:t>Xiaoyan</w:t>
      </w:r>
      <w:proofErr w:type="spellEnd"/>
      <w:r w:rsidRPr="00A853C1">
        <w:rPr>
          <w:rStyle w:val="Hyperlink"/>
          <w:rFonts w:ascii="Times New Roman" w:hAnsi="Times New Roman" w:cs="Times New Roman"/>
          <w:color w:val="0071BC"/>
        </w:rPr>
        <w:t xml:space="preserve"> Liang</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Jintao Peng</w:t>
        </w:r>
      </w:hyperlink>
    </w:p>
    <w:p w14:paraId="07B103FB" w14:textId="77777777" w:rsidR="00F20D5E" w:rsidRPr="00A853C1" w:rsidRDefault="00F20D5E" w:rsidP="00F20D5E">
      <w:pPr>
        <w:rPr>
          <w:rFonts w:ascii="Times New Roman" w:hAnsi="Times New Roman" w:cs="Times New Roman"/>
          <w:color w:val="5B616B"/>
        </w:rPr>
      </w:pPr>
      <w:proofErr w:type="spellStart"/>
      <w:r w:rsidRPr="00A853C1">
        <w:rPr>
          <w:rFonts w:ascii="Times New Roman" w:hAnsi="Times New Roman" w:cs="Times New Roman"/>
          <w:color w:val="5B616B"/>
        </w:rPr>
        <w:t>Reprod</w:t>
      </w:r>
      <w:proofErr w:type="spellEnd"/>
      <w:r w:rsidRPr="00A853C1">
        <w:rPr>
          <w:rFonts w:ascii="Times New Roman" w:hAnsi="Times New Roman" w:cs="Times New Roman"/>
          <w:color w:val="5B616B"/>
        </w:rPr>
        <w:t xml:space="preserve"> Sci</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7.</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10.1007/s43032-022-00966-3.</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2CF26D81" w14:textId="77777777" w:rsidR="00F20D5E" w:rsidRDefault="00F20D5E" w:rsidP="00F20D5E">
      <w:pPr>
        <w:pStyle w:val="Heading2"/>
        <w:rPr>
          <w:rFonts w:ascii="Times New Roman" w:hAnsi="Times New Roman" w:cs="Times New Roman"/>
          <w:color w:val="212121"/>
          <w:sz w:val="24"/>
          <w:szCs w:val="24"/>
        </w:rPr>
      </w:pPr>
    </w:p>
    <w:p w14:paraId="6B5FC5FA" w14:textId="77777777" w:rsidR="00F20D5E" w:rsidRPr="00A853C1" w:rsidRDefault="00F20D5E" w:rsidP="00F20D5E">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43AF909" w14:textId="77777777" w:rsidR="00F20D5E" w:rsidRPr="00A853C1" w:rsidRDefault="00F20D5E" w:rsidP="00F20D5E">
      <w:pPr>
        <w:pStyle w:val="NormalWeb"/>
        <w:rPr>
          <w:color w:val="212121"/>
        </w:rPr>
      </w:pPr>
      <w:r w:rsidRPr="00A853C1">
        <w:rPr>
          <w:color w:val="212121"/>
        </w:rPr>
        <w:t>To explore the expression profiles of mRNAs, long-noncoding RNAs (</w:t>
      </w:r>
      <w:proofErr w:type="spellStart"/>
      <w:r w:rsidRPr="00A853C1">
        <w:rPr>
          <w:color w:val="212121"/>
        </w:rPr>
        <w:t>lncRNAs</w:t>
      </w:r>
      <w:proofErr w:type="spellEnd"/>
      <w:r w:rsidRPr="00A853C1">
        <w:rPr>
          <w:color w:val="212121"/>
        </w:rPr>
        <w:t>), circular RNAs (</w:t>
      </w:r>
      <w:proofErr w:type="spellStart"/>
      <w:r w:rsidRPr="00A853C1">
        <w:rPr>
          <w:color w:val="212121"/>
        </w:rPr>
        <w:t>circRNAs</w:t>
      </w:r>
      <w:proofErr w:type="spellEnd"/>
      <w:r w:rsidRPr="00A853C1">
        <w:rPr>
          <w:color w:val="212121"/>
        </w:rPr>
        <w:t xml:space="preserve">) and construct the competitive endogenous RNA networks in granulosa cells (GCs) of infertile women with ovarian endometriosis. RNA sequencing was conducted for RNA expression profiling from GCs of five women with ovarian endometriosis and five with tubal factor infertility. The differential expression of mRNAs, </w:t>
      </w:r>
      <w:proofErr w:type="spellStart"/>
      <w:r w:rsidRPr="00A853C1">
        <w:rPr>
          <w:color w:val="212121"/>
        </w:rPr>
        <w:t>lncRNAs</w:t>
      </w:r>
      <w:proofErr w:type="spellEnd"/>
      <w:r w:rsidRPr="00A853C1">
        <w:rPr>
          <w:color w:val="212121"/>
        </w:rPr>
        <w:t xml:space="preserve"> and </w:t>
      </w:r>
      <w:proofErr w:type="spellStart"/>
      <w:r w:rsidRPr="00A853C1">
        <w:rPr>
          <w:color w:val="212121"/>
        </w:rPr>
        <w:t>circRNAs</w:t>
      </w:r>
      <w:proofErr w:type="spellEnd"/>
      <w:r w:rsidRPr="00A853C1">
        <w:rPr>
          <w:color w:val="212121"/>
        </w:rPr>
        <w:t xml:space="preserve"> was compared. Then, the lncRNA-miRNA-mRNA and </w:t>
      </w:r>
      <w:proofErr w:type="spellStart"/>
      <w:r w:rsidRPr="00A853C1">
        <w:rPr>
          <w:color w:val="212121"/>
        </w:rPr>
        <w:t>circRNA</w:t>
      </w:r>
      <w:proofErr w:type="spellEnd"/>
      <w:r w:rsidRPr="00A853C1">
        <w:rPr>
          <w:color w:val="212121"/>
        </w:rPr>
        <w:t xml:space="preserve">-miRNA-mRNA networks were constructed. Finally, the Gene Ontology (GO), Kyoto </w:t>
      </w:r>
      <w:proofErr w:type="spellStart"/>
      <w:r w:rsidRPr="00A853C1">
        <w:rPr>
          <w:color w:val="212121"/>
        </w:rPr>
        <w:t>Encyclopedia</w:t>
      </w:r>
      <w:proofErr w:type="spellEnd"/>
      <w:r w:rsidRPr="00A853C1">
        <w:rPr>
          <w:color w:val="212121"/>
        </w:rPr>
        <w:t xml:space="preserve"> of Genes and Genomes (KEGG) pathway were performed to determine the role of the differential expression of mRNA. A total of 12,498 mRNAs, 724 </w:t>
      </w:r>
      <w:proofErr w:type="spellStart"/>
      <w:r w:rsidRPr="00A853C1">
        <w:rPr>
          <w:color w:val="212121"/>
        </w:rPr>
        <w:t>lncRNAs</w:t>
      </w:r>
      <w:proofErr w:type="spellEnd"/>
      <w:r w:rsidRPr="00A853C1">
        <w:rPr>
          <w:color w:val="212121"/>
        </w:rPr>
        <w:t xml:space="preserve"> and 2269 </w:t>
      </w:r>
      <w:proofErr w:type="spellStart"/>
      <w:r w:rsidRPr="00A853C1">
        <w:rPr>
          <w:color w:val="212121"/>
        </w:rPr>
        <w:t>circRNAs</w:t>
      </w:r>
      <w:proofErr w:type="spellEnd"/>
      <w:r w:rsidRPr="00A853C1">
        <w:rPr>
          <w:color w:val="212121"/>
        </w:rPr>
        <w:t xml:space="preserve"> were identified in ovarian endometriosis and controls. 37 mRNAs, 51 </w:t>
      </w:r>
      <w:proofErr w:type="spellStart"/>
      <w:r w:rsidRPr="00A853C1">
        <w:rPr>
          <w:color w:val="212121"/>
        </w:rPr>
        <w:t>lncRNAs</w:t>
      </w:r>
      <w:proofErr w:type="spellEnd"/>
      <w:r w:rsidRPr="00A853C1">
        <w:rPr>
          <w:color w:val="212121"/>
        </w:rPr>
        <w:t xml:space="preserve"> and 101 </w:t>
      </w:r>
      <w:proofErr w:type="spellStart"/>
      <w:r w:rsidRPr="00A853C1">
        <w:rPr>
          <w:color w:val="212121"/>
        </w:rPr>
        <w:t>circRNAs</w:t>
      </w:r>
      <w:proofErr w:type="spellEnd"/>
      <w:r w:rsidRPr="00A853C1">
        <w:rPr>
          <w:color w:val="212121"/>
        </w:rPr>
        <w:t xml:space="preserve"> were detected to be differentially expressed in women with ovarian endometriosis. Ten </w:t>
      </w:r>
      <w:proofErr w:type="spellStart"/>
      <w:r w:rsidRPr="00A853C1">
        <w:rPr>
          <w:color w:val="212121"/>
        </w:rPr>
        <w:t>lncRNAs</w:t>
      </w:r>
      <w:proofErr w:type="spellEnd"/>
      <w:r w:rsidRPr="00A853C1">
        <w:rPr>
          <w:color w:val="212121"/>
        </w:rPr>
        <w:t xml:space="preserve"> and 22 differentially expressed mRNAs were selected to build the lncRNA-miRNA-mRNA network, while 12 </w:t>
      </w:r>
      <w:proofErr w:type="spellStart"/>
      <w:r w:rsidRPr="00A853C1">
        <w:rPr>
          <w:color w:val="212121"/>
        </w:rPr>
        <w:t>circRNAs</w:t>
      </w:r>
      <w:proofErr w:type="spellEnd"/>
      <w:r w:rsidRPr="00A853C1">
        <w:rPr>
          <w:color w:val="212121"/>
        </w:rPr>
        <w:t xml:space="preserve"> and four differentially expressed mRNAs were selected to build the </w:t>
      </w:r>
      <w:proofErr w:type="spellStart"/>
      <w:r w:rsidRPr="00A853C1">
        <w:rPr>
          <w:color w:val="212121"/>
        </w:rPr>
        <w:t>circRNA</w:t>
      </w:r>
      <w:proofErr w:type="spellEnd"/>
      <w:r w:rsidRPr="00A853C1">
        <w:rPr>
          <w:color w:val="212121"/>
        </w:rPr>
        <w:t xml:space="preserve">-miRNA-mRNA network. GO analysis suggested that the differentially expressed mRNAs were mainly involved in regulation of cell differentiation, cell cycle while KEGG pathway analysis showed that pathways involved in the MAPK </w:t>
      </w:r>
      <w:proofErr w:type="spellStart"/>
      <w:r w:rsidRPr="00A853C1">
        <w:rPr>
          <w:color w:val="212121"/>
        </w:rPr>
        <w:t>signaling</w:t>
      </w:r>
      <w:proofErr w:type="spellEnd"/>
      <w:r w:rsidRPr="00A853C1">
        <w:rPr>
          <w:color w:val="212121"/>
        </w:rPr>
        <w:t xml:space="preserve"> pathway and </w:t>
      </w:r>
      <w:proofErr w:type="spellStart"/>
      <w:r w:rsidRPr="00A853C1">
        <w:rPr>
          <w:color w:val="212121"/>
        </w:rPr>
        <w:t>FoxO</w:t>
      </w:r>
      <w:proofErr w:type="spellEnd"/>
      <w:r w:rsidRPr="00A853C1">
        <w:rPr>
          <w:color w:val="212121"/>
        </w:rPr>
        <w:t xml:space="preserve"> </w:t>
      </w:r>
      <w:proofErr w:type="spellStart"/>
      <w:r w:rsidRPr="00A853C1">
        <w:rPr>
          <w:color w:val="212121"/>
        </w:rPr>
        <w:t>signaling</w:t>
      </w:r>
      <w:proofErr w:type="spellEnd"/>
      <w:r w:rsidRPr="00A853C1">
        <w:rPr>
          <w:color w:val="212121"/>
        </w:rPr>
        <w:t xml:space="preserve"> pathway were enriched with differentially upregulated mRNAs. We generated mRNAs, </w:t>
      </w:r>
      <w:proofErr w:type="spellStart"/>
      <w:r w:rsidRPr="00A853C1">
        <w:rPr>
          <w:color w:val="212121"/>
        </w:rPr>
        <w:t>lncRNAs</w:t>
      </w:r>
      <w:proofErr w:type="spellEnd"/>
      <w:r w:rsidRPr="00A853C1">
        <w:rPr>
          <w:color w:val="212121"/>
        </w:rPr>
        <w:t xml:space="preserve"> and </w:t>
      </w:r>
      <w:proofErr w:type="spellStart"/>
      <w:r w:rsidRPr="00A853C1">
        <w:rPr>
          <w:color w:val="212121"/>
        </w:rPr>
        <w:t>circRNAs</w:t>
      </w:r>
      <w:proofErr w:type="spellEnd"/>
      <w:r w:rsidRPr="00A853C1">
        <w:rPr>
          <w:color w:val="212121"/>
        </w:rPr>
        <w:t xml:space="preserve"> expression profiles and identified differentially expressed RNAs of GCs in infertile women with ovarian endometriosis. These findings provide a basis for further understanding of the underlying </w:t>
      </w:r>
      <w:proofErr w:type="spellStart"/>
      <w:r w:rsidRPr="00A853C1">
        <w:rPr>
          <w:color w:val="212121"/>
        </w:rPr>
        <w:t>etiology</w:t>
      </w:r>
      <w:proofErr w:type="spellEnd"/>
      <w:r w:rsidRPr="00A853C1">
        <w:rPr>
          <w:color w:val="212121"/>
        </w:rPr>
        <w:t xml:space="preserve"> of endometriosis-related infertility.</w:t>
      </w:r>
    </w:p>
    <w:p w14:paraId="7570B9CA" w14:textId="77777777" w:rsidR="00F20D5E" w:rsidRPr="00A853C1" w:rsidRDefault="00F20D5E" w:rsidP="00F20D5E">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 xml:space="preserve">Bioinformatics analysis; Endometriosis; Infertility; </w:t>
      </w:r>
      <w:proofErr w:type="spellStart"/>
      <w:r w:rsidRPr="00A853C1">
        <w:rPr>
          <w:color w:val="212121"/>
        </w:rPr>
        <w:t>ceRNA</w:t>
      </w:r>
      <w:proofErr w:type="spellEnd"/>
      <w:r w:rsidRPr="00A853C1">
        <w:rPr>
          <w:color w:val="212121"/>
        </w:rPr>
        <w:t xml:space="preserve"> network; </w:t>
      </w:r>
      <w:proofErr w:type="spellStart"/>
      <w:r w:rsidRPr="00A853C1">
        <w:rPr>
          <w:color w:val="212121"/>
        </w:rPr>
        <w:t>circRNAs</w:t>
      </w:r>
      <w:proofErr w:type="spellEnd"/>
      <w:r w:rsidRPr="00A853C1">
        <w:rPr>
          <w:color w:val="212121"/>
        </w:rPr>
        <w:t xml:space="preserve">; </w:t>
      </w:r>
      <w:proofErr w:type="spellStart"/>
      <w:r w:rsidRPr="00A853C1">
        <w:rPr>
          <w:color w:val="212121"/>
        </w:rPr>
        <w:t>lncRNAs</w:t>
      </w:r>
      <w:proofErr w:type="spellEnd"/>
      <w:r w:rsidRPr="00A853C1">
        <w:rPr>
          <w:color w:val="212121"/>
        </w:rPr>
        <w:t>; mRNAs.</w:t>
      </w:r>
    </w:p>
    <w:p w14:paraId="715AA1C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D5E"/>
    <w:rsid w:val="001C7F88"/>
    <w:rsid w:val="00432D50"/>
    <w:rsid w:val="00875F78"/>
    <w:rsid w:val="00A74000"/>
    <w:rsid w:val="00B02158"/>
    <w:rsid w:val="00BE7B39"/>
    <w:rsid w:val="00D10F9D"/>
    <w:rsid w:val="00D30F83"/>
    <w:rsid w:val="00D7461F"/>
    <w:rsid w:val="00DB67B4"/>
    <w:rsid w:val="00F20D5E"/>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FF09912"/>
  <w15:chartTrackingRefBased/>
  <w15:docId w15:val="{BEB60F6D-14F2-5D48-B99C-8F1AC0A7E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D5E"/>
  </w:style>
  <w:style w:type="paragraph" w:styleId="Heading1">
    <w:name w:val="heading 1"/>
    <w:basedOn w:val="Normal"/>
    <w:link w:val="Heading1Char"/>
    <w:uiPriority w:val="9"/>
    <w:qFormat/>
    <w:rsid w:val="00F20D5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0D5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D5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F20D5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F20D5E"/>
    <w:rPr>
      <w:color w:val="0000FF"/>
      <w:u w:val="single"/>
    </w:rPr>
  </w:style>
  <w:style w:type="character" w:customStyle="1" w:styleId="period">
    <w:name w:val="period"/>
    <w:basedOn w:val="DefaultParagraphFont"/>
    <w:rsid w:val="00F20D5E"/>
  </w:style>
  <w:style w:type="character" w:customStyle="1" w:styleId="apple-converted-space">
    <w:name w:val="apple-converted-space"/>
    <w:basedOn w:val="DefaultParagraphFont"/>
    <w:rsid w:val="00F20D5E"/>
  </w:style>
  <w:style w:type="character" w:customStyle="1" w:styleId="cit">
    <w:name w:val="cit"/>
    <w:basedOn w:val="DefaultParagraphFont"/>
    <w:rsid w:val="00F20D5E"/>
  </w:style>
  <w:style w:type="character" w:customStyle="1" w:styleId="citation-doi">
    <w:name w:val="citation-doi"/>
    <w:basedOn w:val="DefaultParagraphFont"/>
    <w:rsid w:val="00F20D5E"/>
  </w:style>
  <w:style w:type="character" w:customStyle="1" w:styleId="ahead-of-print">
    <w:name w:val="ahead-of-print"/>
    <w:basedOn w:val="DefaultParagraphFont"/>
    <w:rsid w:val="00F20D5E"/>
  </w:style>
  <w:style w:type="character" w:customStyle="1" w:styleId="authors-list-item">
    <w:name w:val="authors-list-item"/>
    <w:basedOn w:val="DefaultParagraphFont"/>
    <w:rsid w:val="00F20D5E"/>
  </w:style>
  <w:style w:type="character" w:customStyle="1" w:styleId="comma">
    <w:name w:val="comma"/>
    <w:basedOn w:val="DefaultParagraphFont"/>
    <w:rsid w:val="00F20D5E"/>
  </w:style>
  <w:style w:type="character" w:styleId="Strong">
    <w:name w:val="Strong"/>
    <w:basedOn w:val="DefaultParagraphFont"/>
    <w:uiPriority w:val="22"/>
    <w:qFormat/>
    <w:rsid w:val="00F20D5E"/>
    <w:rPr>
      <w:b/>
      <w:bCs/>
    </w:rPr>
  </w:style>
  <w:style w:type="paragraph" w:styleId="NormalWeb">
    <w:name w:val="Normal (Web)"/>
    <w:basedOn w:val="Normal"/>
    <w:uiPriority w:val="99"/>
    <w:unhideWhenUsed/>
    <w:rsid w:val="00F20D5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Peng+J&amp;cauthor_id=35799021" TargetMode="External"/><Relationship Id="rId5" Type="http://schemas.openxmlformats.org/officeDocument/2006/relationships/hyperlink" Target="https://pubmed.ncbi.nlm.nih.gov/?term=Guo+J&amp;cauthor_id=3579902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372</Words>
  <Characters>2126</Characters>
  <Application>Microsoft Office Word</Application>
  <DocSecurity>0</DocSecurity>
  <Lines>17</Lines>
  <Paragraphs>4</Paragraphs>
  <ScaleCrop>false</ScaleCrop>
  <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2022-08-02T13:00:00Z</dcterms:created>
  <dcterms:modified xsi:type="dcterms:W3CDTF">2022-08-02T13:00:00Z</dcterms:modified>
</cp:coreProperties>
</file>