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F648" w14:textId="77777777" w:rsidR="001D15FC" w:rsidRPr="00A853C1" w:rsidRDefault="001D15FC" w:rsidP="001D15FC">
      <w:pPr>
        <w:pStyle w:val="Heading1"/>
        <w:ind w:left="928"/>
        <w:rPr>
          <w:sz w:val="24"/>
          <w:szCs w:val="24"/>
        </w:rPr>
      </w:pPr>
      <w:r w:rsidRPr="00A853C1">
        <w:rPr>
          <w:sz w:val="24"/>
          <w:szCs w:val="24"/>
        </w:rPr>
        <w:t xml:space="preserve">The effect of endometriosis on IVF/ICSI and perinatal </w:t>
      </w:r>
      <w:proofErr w:type="gramStart"/>
      <w:r w:rsidRPr="00A853C1">
        <w:rPr>
          <w:sz w:val="24"/>
          <w:szCs w:val="24"/>
        </w:rPr>
        <w:t>outcome :</w:t>
      </w:r>
      <w:proofErr w:type="gramEnd"/>
      <w:r w:rsidRPr="00A853C1">
        <w:rPr>
          <w:sz w:val="24"/>
          <w:szCs w:val="24"/>
        </w:rPr>
        <w:t xml:space="preserve"> a systematic review and meta-analysis</w:t>
      </w:r>
    </w:p>
    <w:p w14:paraId="6AA9E538" w14:textId="77777777" w:rsidR="001D15FC" w:rsidRPr="00A853C1" w:rsidRDefault="001D15FC" w:rsidP="001D15FC">
      <w:pPr>
        <w:rPr>
          <w:rFonts w:ascii="Times New Roman" w:hAnsi="Times New Roman" w:cs="Times New Roman"/>
          <w:color w:val="5B616B"/>
        </w:rPr>
      </w:pPr>
      <w:hyperlink r:id="rId5" w:history="1">
        <w:proofErr w:type="spellStart"/>
        <w:r w:rsidRPr="00A853C1">
          <w:rPr>
            <w:rStyle w:val="Hyperlink"/>
            <w:rFonts w:ascii="Times New Roman" w:hAnsi="Times New Roman" w:cs="Times New Roman"/>
            <w:color w:val="0071BC"/>
          </w:rPr>
          <w:t>Huiling</w:t>
        </w:r>
        <w:proofErr w:type="spellEnd"/>
        <w:r w:rsidRPr="00A853C1">
          <w:rPr>
            <w:rStyle w:val="Hyperlink"/>
            <w:rFonts w:ascii="Times New Roman" w:hAnsi="Times New Roman" w:cs="Times New Roman"/>
            <w:color w:val="0071BC"/>
          </w:rPr>
          <w:t xml:space="preserve"> Qu</w:t>
        </w:r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proofErr w:type="spellStart"/>
      <w:r>
        <w:fldChar w:fldCharType="begin"/>
      </w:r>
      <w:r>
        <w:instrText xml:space="preserve"> HYPERLINK "https://pubmed.ncbi.nlm.nih.gov/?term=Du+Y&amp;cauthor_id=35905901" </w:instrText>
      </w:r>
      <w:r>
        <w:fldChar w:fldCharType="separate"/>
      </w:r>
      <w:r w:rsidRPr="00A853C1">
        <w:rPr>
          <w:rStyle w:val="Hyperlink"/>
          <w:rFonts w:ascii="Times New Roman" w:hAnsi="Times New Roman" w:cs="Times New Roman"/>
          <w:color w:val="0071BC"/>
        </w:rPr>
        <w:t>Yanbo</w:t>
      </w:r>
      <w:proofErr w:type="spellEnd"/>
      <w:r w:rsidRPr="00A853C1">
        <w:rPr>
          <w:rStyle w:val="Hyperlink"/>
          <w:rFonts w:ascii="Times New Roman" w:hAnsi="Times New Roman" w:cs="Times New Roman"/>
          <w:color w:val="0071BC"/>
        </w:rPr>
        <w:t xml:space="preserve"> Du</w:t>
      </w:r>
      <w:r>
        <w:rPr>
          <w:rStyle w:val="Hyperlink"/>
          <w:rFonts w:ascii="Times New Roman" w:hAnsi="Times New Roman" w:cs="Times New Roman"/>
          <w:color w:val="0071BC"/>
        </w:rPr>
        <w:fldChar w:fldCharType="end"/>
      </w:r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6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>Yi Yu</w:t>
        </w:r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7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>Meng Wang</w:t>
        </w:r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8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>Ting Han</w:t>
        </w:r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9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>Lei Yan</w:t>
        </w:r>
      </w:hyperlink>
    </w:p>
    <w:p w14:paraId="12CB96F9" w14:textId="77777777" w:rsidR="001D15FC" w:rsidRPr="00A853C1" w:rsidRDefault="001D15FC" w:rsidP="001D15FC">
      <w:pPr>
        <w:rPr>
          <w:rFonts w:ascii="Times New Roman" w:hAnsi="Times New Roman" w:cs="Times New Roman"/>
          <w:color w:val="5B616B"/>
        </w:rPr>
      </w:pPr>
      <w:r w:rsidRPr="00A853C1">
        <w:rPr>
          <w:rFonts w:ascii="Times New Roman" w:hAnsi="Times New Roman" w:cs="Times New Roman"/>
          <w:color w:val="5B616B"/>
        </w:rPr>
        <w:t xml:space="preserve">J </w:t>
      </w:r>
      <w:proofErr w:type="spellStart"/>
      <w:r w:rsidRPr="00A853C1">
        <w:rPr>
          <w:rFonts w:ascii="Times New Roman" w:hAnsi="Times New Roman" w:cs="Times New Roman"/>
          <w:color w:val="5B616B"/>
        </w:rPr>
        <w:t>Gynecol</w:t>
      </w:r>
      <w:proofErr w:type="spellEnd"/>
      <w:r w:rsidRPr="00A853C1">
        <w:rPr>
          <w:rFonts w:ascii="Times New Roman" w:hAnsi="Times New Roman" w:cs="Times New Roman"/>
          <w:color w:val="5B616B"/>
        </w:rPr>
        <w:t xml:space="preserve"> </w:t>
      </w:r>
      <w:proofErr w:type="spellStart"/>
      <w:r w:rsidRPr="00A853C1">
        <w:rPr>
          <w:rFonts w:ascii="Times New Roman" w:hAnsi="Times New Roman" w:cs="Times New Roman"/>
          <w:color w:val="5B616B"/>
        </w:rPr>
        <w:t>Obstet</w:t>
      </w:r>
      <w:proofErr w:type="spellEnd"/>
      <w:r w:rsidRPr="00A853C1">
        <w:rPr>
          <w:rFonts w:ascii="Times New Roman" w:hAnsi="Times New Roman" w:cs="Times New Roman"/>
          <w:color w:val="5B616B"/>
        </w:rPr>
        <w:t xml:space="preserve"> Hum </w:t>
      </w:r>
      <w:proofErr w:type="spellStart"/>
      <w:r w:rsidRPr="00A853C1">
        <w:rPr>
          <w:rFonts w:ascii="Times New Roman" w:hAnsi="Times New Roman" w:cs="Times New Roman"/>
          <w:color w:val="5B616B"/>
        </w:rPr>
        <w:t>Reprod</w:t>
      </w:r>
      <w:proofErr w:type="spellEnd"/>
      <w:r w:rsidRPr="00A853C1">
        <w:rPr>
          <w:rStyle w:val="period"/>
          <w:rFonts w:ascii="Times New Roman" w:hAnsi="Times New Roman" w:cs="Times New Roman"/>
          <w:color w:val="0071BC"/>
        </w:rPr>
        <w:t>.</w:t>
      </w:r>
      <w:r w:rsidRPr="00A853C1">
        <w:rPr>
          <w:rStyle w:val="apple-converted-space"/>
          <w:rFonts w:ascii="Times New Roman" w:hAnsi="Times New Roman" w:cs="Times New Roman"/>
          <w:color w:val="0071BC"/>
        </w:rPr>
        <w:t> </w:t>
      </w:r>
      <w:r w:rsidRPr="00A853C1">
        <w:rPr>
          <w:rStyle w:val="cit"/>
          <w:rFonts w:ascii="Times New Roman" w:hAnsi="Times New Roman" w:cs="Times New Roman"/>
          <w:color w:val="5B616B"/>
        </w:rPr>
        <w:t xml:space="preserve">2022 Jul </w:t>
      </w:r>
      <w:proofErr w:type="gramStart"/>
      <w:r w:rsidRPr="00A853C1">
        <w:rPr>
          <w:rStyle w:val="cit"/>
          <w:rFonts w:ascii="Times New Roman" w:hAnsi="Times New Roman" w:cs="Times New Roman"/>
          <w:color w:val="5B616B"/>
        </w:rPr>
        <w:t>26;102446.</w:t>
      </w:r>
      <w:r w:rsidRPr="00A853C1">
        <w:rPr>
          <w:rStyle w:val="citation-doi"/>
          <w:rFonts w:ascii="Times New Roman" w:hAnsi="Times New Roman" w:cs="Times New Roman"/>
          <w:color w:val="5B616B"/>
        </w:rPr>
        <w:t>doi</w:t>
      </w:r>
      <w:proofErr w:type="gramEnd"/>
      <w:r w:rsidRPr="00A853C1">
        <w:rPr>
          <w:rStyle w:val="citation-doi"/>
          <w:rFonts w:ascii="Times New Roman" w:hAnsi="Times New Roman" w:cs="Times New Roman"/>
          <w:color w:val="5B616B"/>
        </w:rPr>
        <w:t>: 10.1016/j.jogoh.2022.102446.</w:t>
      </w:r>
      <w:r w:rsidRPr="00A853C1">
        <w:rPr>
          <w:rStyle w:val="apple-converted-space"/>
          <w:rFonts w:ascii="Times New Roman" w:hAnsi="Times New Roman" w:cs="Times New Roman"/>
        </w:rPr>
        <w:t> </w:t>
      </w:r>
      <w:r w:rsidRPr="00A853C1">
        <w:rPr>
          <w:rStyle w:val="ahead-of-print"/>
          <w:rFonts w:ascii="Times New Roman" w:hAnsi="Times New Roman" w:cs="Times New Roman"/>
          <w:color w:val="5B616B"/>
        </w:rPr>
        <w:t>Online ahead of print.</w:t>
      </w:r>
    </w:p>
    <w:p w14:paraId="276B8B13" w14:textId="77777777" w:rsidR="001D15FC" w:rsidRPr="00A853C1" w:rsidRDefault="001D15FC" w:rsidP="001D15FC">
      <w:pPr>
        <w:pStyle w:val="Heading2"/>
        <w:rPr>
          <w:rFonts w:ascii="Times New Roman" w:hAnsi="Times New Roman" w:cs="Times New Roman"/>
          <w:color w:val="212121"/>
          <w:sz w:val="24"/>
          <w:szCs w:val="24"/>
        </w:rPr>
      </w:pPr>
    </w:p>
    <w:p w14:paraId="63C32FB7" w14:textId="77777777" w:rsidR="001D15FC" w:rsidRPr="00A853C1" w:rsidRDefault="001D15FC" w:rsidP="001D15FC">
      <w:pPr>
        <w:pStyle w:val="Heading2"/>
        <w:rPr>
          <w:rFonts w:ascii="Times New Roman" w:hAnsi="Times New Roman" w:cs="Times New Roman"/>
          <w:color w:val="212121"/>
          <w:sz w:val="24"/>
          <w:szCs w:val="24"/>
        </w:rPr>
      </w:pPr>
      <w:r w:rsidRPr="00A853C1">
        <w:rPr>
          <w:rFonts w:ascii="Times New Roman" w:hAnsi="Times New Roman" w:cs="Times New Roman"/>
          <w:color w:val="212121"/>
          <w:sz w:val="24"/>
          <w:szCs w:val="24"/>
        </w:rPr>
        <w:t>Abstract</w:t>
      </w:r>
    </w:p>
    <w:p w14:paraId="520A7B30" w14:textId="77777777" w:rsidR="001D15FC" w:rsidRPr="00A853C1" w:rsidRDefault="001D15FC" w:rsidP="001D15FC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Purpose: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The purpose of the study was whether endometriosis influences IVF/ICSI and subsequent pregnancy and obstetric outcomes.</w:t>
      </w:r>
    </w:p>
    <w:p w14:paraId="7724B601" w14:textId="77777777" w:rsidR="001D15FC" w:rsidRPr="00A853C1" w:rsidRDefault="001D15FC" w:rsidP="001D15FC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Methods: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 xml:space="preserve">Searches were performed on PubMed, EMBASE, Medline and Web of Science. Most of the included studies were retrospective case control study and retrospective cohort </w:t>
      </w:r>
      <w:proofErr w:type="spellStart"/>
      <w:proofErr w:type="gramStart"/>
      <w:r w:rsidRPr="00A853C1">
        <w:rPr>
          <w:color w:val="212121"/>
        </w:rPr>
        <w:t>study.The</w:t>
      </w:r>
      <w:proofErr w:type="spellEnd"/>
      <w:proofErr w:type="gramEnd"/>
      <w:r w:rsidRPr="00A853C1">
        <w:rPr>
          <w:color w:val="212121"/>
        </w:rPr>
        <w:t xml:space="preserve"> risk ratio with 95% confidence intervals were calculated using the random and fixed effects model. Random effects models were applied in the case of significant heterogeneity (I</w:t>
      </w:r>
      <w:r w:rsidRPr="00A853C1">
        <w:rPr>
          <w:color w:val="212121"/>
          <w:vertAlign w:val="superscript"/>
        </w:rPr>
        <w:t>2</w:t>
      </w:r>
      <w:r w:rsidRPr="00A853C1">
        <w:rPr>
          <w:color w:val="212121"/>
        </w:rPr>
        <w:t xml:space="preserve">&gt;50%), and fixed effects models were used if the heterogeneity was not </w:t>
      </w:r>
      <w:proofErr w:type="spellStart"/>
      <w:proofErr w:type="gramStart"/>
      <w:r w:rsidRPr="00A853C1">
        <w:rPr>
          <w:color w:val="212121"/>
        </w:rPr>
        <w:t>significant.The</w:t>
      </w:r>
      <w:proofErr w:type="spellEnd"/>
      <w:proofErr w:type="gramEnd"/>
      <w:r w:rsidRPr="00A853C1">
        <w:rPr>
          <w:color w:val="212121"/>
        </w:rPr>
        <w:t xml:space="preserve"> main outcome measure was the live birth rate.</w:t>
      </w:r>
    </w:p>
    <w:p w14:paraId="56672ED6" w14:textId="77777777" w:rsidR="001D15FC" w:rsidRPr="00A853C1" w:rsidRDefault="001D15FC" w:rsidP="001D15FC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Results: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 xml:space="preserve">Seventy studies were included in our analysis. Compared with the control group, the implantation rate (p = 0.04) and the number of </w:t>
      </w:r>
      <w:proofErr w:type="gramStart"/>
      <w:r w:rsidRPr="00A853C1">
        <w:rPr>
          <w:color w:val="212121"/>
        </w:rPr>
        <w:t>oocyte</w:t>
      </w:r>
      <w:proofErr w:type="gramEnd"/>
      <w:r w:rsidRPr="00A853C1">
        <w:rPr>
          <w:color w:val="212121"/>
        </w:rPr>
        <w:t xml:space="preserve"> retrieved (p&lt;0.00001) were significantly lower in women with endometriosis. About late pregnancy complications, there were significant statistical differences in multiple pregnancies rate, placenta previa rate, ectopic pregnancy rate, postpartum </w:t>
      </w:r>
      <w:proofErr w:type="spellStart"/>
      <w:r w:rsidRPr="00A853C1">
        <w:rPr>
          <w:color w:val="212121"/>
        </w:rPr>
        <w:t>hemorrhage</w:t>
      </w:r>
      <w:proofErr w:type="spellEnd"/>
      <w:r w:rsidRPr="00A853C1">
        <w:rPr>
          <w:color w:val="212121"/>
        </w:rPr>
        <w:t xml:space="preserve"> rate between the two groups (P&lt;0.05). All other major reproductive and obstetric outcomes were similar in women with and without endometriosis.</w:t>
      </w:r>
    </w:p>
    <w:p w14:paraId="4F7CA5ED" w14:textId="77777777" w:rsidR="001D15FC" w:rsidRPr="00A853C1" w:rsidRDefault="001D15FC" w:rsidP="001D15FC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Conclusions: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 xml:space="preserve">Our results demonstrate women with or without endometriosis have similar reproductive outcomes, but women with endometriosis who conceived after assisted reproductive technology are in </w:t>
      </w:r>
      <w:proofErr w:type="gramStart"/>
      <w:r w:rsidRPr="00A853C1">
        <w:rPr>
          <w:color w:val="212121"/>
        </w:rPr>
        <w:t>high risk</w:t>
      </w:r>
      <w:proofErr w:type="gramEnd"/>
      <w:r w:rsidRPr="00A853C1">
        <w:rPr>
          <w:color w:val="212121"/>
        </w:rPr>
        <w:t xml:space="preserve"> pregnancy.</w:t>
      </w:r>
    </w:p>
    <w:p w14:paraId="7BF65B4C" w14:textId="77777777" w:rsidR="001D15FC" w:rsidRPr="00A853C1" w:rsidRDefault="001D15FC" w:rsidP="001D15FC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Keywords: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assisted reproductive technologies; endometriosis; in-vitro fertilization; live birth; obstetric; pregnancy.</w:t>
      </w:r>
    </w:p>
    <w:p w14:paraId="14CDB269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EBE"/>
    <w:multiLevelType w:val="hybridMultilevel"/>
    <w:tmpl w:val="0BB4571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FC"/>
    <w:rsid w:val="001C7F88"/>
    <w:rsid w:val="001D15FC"/>
    <w:rsid w:val="00432D50"/>
    <w:rsid w:val="00875F78"/>
    <w:rsid w:val="00A74000"/>
    <w:rsid w:val="00B02158"/>
    <w:rsid w:val="00BE7B39"/>
    <w:rsid w:val="00D10F9D"/>
    <w:rsid w:val="00D30F83"/>
    <w:rsid w:val="00D7461F"/>
    <w:rsid w:val="00DB67B4"/>
    <w:rsid w:val="00F21CD6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14232"/>
  <w15:chartTrackingRefBased/>
  <w15:docId w15:val="{12E411F8-B17A-5945-8B4D-B500BE1C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FC"/>
  </w:style>
  <w:style w:type="paragraph" w:styleId="Heading1">
    <w:name w:val="heading 1"/>
    <w:basedOn w:val="Normal"/>
    <w:link w:val="Heading1Char"/>
    <w:uiPriority w:val="9"/>
    <w:qFormat/>
    <w:rsid w:val="001D15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5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5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D15FC"/>
    <w:rPr>
      <w:color w:val="0000FF"/>
      <w:u w:val="single"/>
    </w:rPr>
  </w:style>
  <w:style w:type="character" w:customStyle="1" w:styleId="period">
    <w:name w:val="period"/>
    <w:basedOn w:val="DefaultParagraphFont"/>
    <w:rsid w:val="001D15FC"/>
  </w:style>
  <w:style w:type="character" w:customStyle="1" w:styleId="apple-converted-space">
    <w:name w:val="apple-converted-space"/>
    <w:basedOn w:val="DefaultParagraphFont"/>
    <w:rsid w:val="001D15FC"/>
  </w:style>
  <w:style w:type="character" w:customStyle="1" w:styleId="cit">
    <w:name w:val="cit"/>
    <w:basedOn w:val="DefaultParagraphFont"/>
    <w:rsid w:val="001D15FC"/>
  </w:style>
  <w:style w:type="character" w:customStyle="1" w:styleId="citation-doi">
    <w:name w:val="citation-doi"/>
    <w:basedOn w:val="DefaultParagraphFont"/>
    <w:rsid w:val="001D15FC"/>
  </w:style>
  <w:style w:type="character" w:customStyle="1" w:styleId="ahead-of-print">
    <w:name w:val="ahead-of-print"/>
    <w:basedOn w:val="DefaultParagraphFont"/>
    <w:rsid w:val="001D15FC"/>
  </w:style>
  <w:style w:type="character" w:customStyle="1" w:styleId="comma">
    <w:name w:val="comma"/>
    <w:basedOn w:val="DefaultParagraphFont"/>
    <w:rsid w:val="001D15FC"/>
  </w:style>
  <w:style w:type="character" w:styleId="Strong">
    <w:name w:val="Strong"/>
    <w:basedOn w:val="DefaultParagraphFont"/>
    <w:uiPriority w:val="22"/>
    <w:qFormat/>
    <w:rsid w:val="001D15FC"/>
    <w:rPr>
      <w:b/>
      <w:bCs/>
    </w:rPr>
  </w:style>
  <w:style w:type="paragraph" w:styleId="NormalWeb">
    <w:name w:val="Normal (Web)"/>
    <w:basedOn w:val="Normal"/>
    <w:uiPriority w:val="99"/>
    <w:unhideWhenUsed/>
    <w:rsid w:val="001D15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Han+T&amp;cauthor_id=359059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Wang+M&amp;cauthor_id=35905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Yu+Y&amp;cauthor_id=359059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med.ncbi.nlm.nih.gov/?term=Qu+H&amp;cauthor_id=359059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Yan+L&amp;cauthor_id=35905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2022-08-02T13:36:00Z</dcterms:created>
  <dcterms:modified xsi:type="dcterms:W3CDTF">2022-08-02T13:37:00Z</dcterms:modified>
</cp:coreProperties>
</file>