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E96A" w14:textId="77777777" w:rsidR="000F6B02" w:rsidRPr="00A853C1" w:rsidRDefault="000F6B02" w:rsidP="000F6B02">
      <w:pPr>
        <w:pStyle w:val="Heading1"/>
        <w:ind w:left="928"/>
        <w:rPr>
          <w:sz w:val="24"/>
          <w:szCs w:val="24"/>
        </w:rPr>
      </w:pPr>
      <w:r w:rsidRPr="00A853C1">
        <w:rPr>
          <w:sz w:val="24"/>
          <w:szCs w:val="24"/>
        </w:rPr>
        <w:t>Hypoxia-hindered methylation of PTGIS in endometrial stromal cells accelerates endometriosis progression by inducing CD16</w:t>
      </w:r>
      <w:r w:rsidRPr="00A853C1">
        <w:rPr>
          <w:rStyle w:val="apple-converted-space"/>
          <w:sz w:val="24"/>
          <w:szCs w:val="24"/>
        </w:rPr>
        <w:t> </w:t>
      </w:r>
      <w:r w:rsidRPr="00A853C1">
        <w:rPr>
          <w:sz w:val="24"/>
          <w:szCs w:val="24"/>
          <w:vertAlign w:val="superscript"/>
        </w:rPr>
        <w:t>-</w:t>
      </w:r>
      <w:r w:rsidRPr="00A853C1">
        <w:rPr>
          <w:rStyle w:val="apple-converted-space"/>
          <w:sz w:val="24"/>
          <w:szCs w:val="24"/>
        </w:rPr>
        <w:t> </w:t>
      </w:r>
      <w:r w:rsidRPr="00A853C1">
        <w:rPr>
          <w:sz w:val="24"/>
          <w:szCs w:val="24"/>
        </w:rPr>
        <w:t>NK-cell differentiation</w:t>
      </w:r>
    </w:p>
    <w:p w14:paraId="3D227C19" w14:textId="77777777" w:rsidR="000F6B02" w:rsidRPr="00A853C1" w:rsidRDefault="000F6B02" w:rsidP="000F6B02">
      <w:pPr>
        <w:rPr>
          <w:rFonts w:ascii="Times New Roman" w:hAnsi="Times New Roman" w:cs="Times New Roman"/>
          <w:color w:val="5B616B"/>
        </w:rPr>
      </w:pPr>
      <w:hyperlink r:id="rId5" w:history="1">
        <w:r w:rsidRPr="00A853C1">
          <w:rPr>
            <w:rStyle w:val="Hyperlink"/>
            <w:rFonts w:ascii="Times New Roman" w:hAnsi="Times New Roman" w:cs="Times New Roman"/>
            <w:color w:val="0071BC"/>
          </w:rPr>
          <w:t>Haiyan Peng</w:t>
        </w:r>
      </w:hyperlink>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"https://pubmed.ncbi.nlm.nih.gov/?term=Weng+L&amp;cauthor_id=35781537"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Lichun</w:t>
      </w:r>
      <w:proofErr w:type="spellEnd"/>
      <w:r w:rsidRPr="00A853C1">
        <w:rPr>
          <w:rStyle w:val="Hyperlink"/>
          <w:rFonts w:ascii="Times New Roman" w:hAnsi="Times New Roman" w:cs="Times New Roman"/>
          <w:color w:val="0071BC"/>
        </w:rPr>
        <w:t xml:space="preserve"> Weng</w:t>
      </w:r>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"https://pubmed.ncbi.nlm.nih.gov/?term=Lei+S&amp;cauthor_id=35781537"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Shating</w:t>
      </w:r>
      <w:proofErr w:type="spellEnd"/>
      <w:r w:rsidRPr="00A853C1">
        <w:rPr>
          <w:rStyle w:val="Hyperlink"/>
          <w:rFonts w:ascii="Times New Roman" w:hAnsi="Times New Roman" w:cs="Times New Roman"/>
          <w:color w:val="0071BC"/>
        </w:rPr>
        <w:t xml:space="preserve"> Lei</w:t>
      </w:r>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"https://pubmed.ncbi.nlm.nih.gov/?term=Hou+S&amp;cauthor_id=35781537"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Shuhui</w:t>
      </w:r>
      <w:proofErr w:type="spellEnd"/>
      <w:r w:rsidRPr="00A853C1">
        <w:rPr>
          <w:rStyle w:val="Hyperlink"/>
          <w:rFonts w:ascii="Times New Roman" w:hAnsi="Times New Roman" w:cs="Times New Roman"/>
          <w:color w:val="0071BC"/>
        </w:rPr>
        <w:t xml:space="preserve"> Hou</w:t>
      </w:r>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hyperlink r:id="rId6" w:history="1">
        <w:proofErr w:type="spellStart"/>
        <w:r w:rsidRPr="00A853C1">
          <w:rPr>
            <w:rStyle w:val="Hyperlink"/>
            <w:rFonts w:ascii="Times New Roman" w:hAnsi="Times New Roman" w:cs="Times New Roman"/>
            <w:color w:val="0071BC"/>
          </w:rPr>
          <w:t>Shaoliang</w:t>
        </w:r>
        <w:proofErr w:type="spellEnd"/>
        <w:r w:rsidRPr="00A853C1">
          <w:rPr>
            <w:rStyle w:val="Hyperlink"/>
            <w:rFonts w:ascii="Times New Roman" w:hAnsi="Times New Roman" w:cs="Times New Roman"/>
            <w:color w:val="0071BC"/>
          </w:rPr>
          <w:t xml:space="preserve"> Yang</w:t>
        </w:r>
      </w:hyperlink>
      <w:r w:rsidRPr="00A853C1">
        <w:rPr>
          <w:rStyle w:val="comma"/>
          <w:rFonts w:ascii="Times New Roman" w:hAnsi="Times New Roman" w:cs="Times New Roman"/>
          <w:color w:val="5B616B"/>
        </w:rPr>
        <w:t>, </w:t>
      </w:r>
      <w:proofErr w:type="spellStart"/>
      <w:r w:rsidRPr="00A853C1">
        <w:rPr>
          <w:rStyle w:val="authors-list-item"/>
          <w:rFonts w:ascii="Times New Roman" w:hAnsi="Times New Roman" w:cs="Times New Roman"/>
          <w:color w:val="5B616B"/>
        </w:rPr>
        <w:fldChar w:fldCharType="begin"/>
      </w:r>
      <w:r w:rsidRPr="00A853C1">
        <w:rPr>
          <w:rStyle w:val="authors-list-item"/>
          <w:rFonts w:ascii="Times New Roman" w:hAnsi="Times New Roman" w:cs="Times New Roman"/>
          <w:color w:val="5B616B"/>
        </w:rPr>
        <w:instrText xml:space="preserve"> HYPERLINK "https://pubmed.ncbi.nlm.nih.gov/?term=Li+M&amp;cauthor_id=35781537" </w:instrText>
      </w:r>
      <w:r w:rsidRPr="00A853C1">
        <w:rPr>
          <w:rStyle w:val="authors-list-item"/>
          <w:rFonts w:ascii="Times New Roman" w:hAnsi="Times New Roman" w:cs="Times New Roman"/>
          <w:color w:val="5B616B"/>
        </w:rPr>
        <w:fldChar w:fldCharType="separate"/>
      </w:r>
      <w:r w:rsidRPr="00A853C1">
        <w:rPr>
          <w:rStyle w:val="Hyperlink"/>
          <w:rFonts w:ascii="Times New Roman" w:hAnsi="Times New Roman" w:cs="Times New Roman"/>
          <w:color w:val="0071BC"/>
        </w:rPr>
        <w:t>Mingqing</w:t>
      </w:r>
      <w:proofErr w:type="spellEnd"/>
      <w:r w:rsidRPr="00A853C1">
        <w:rPr>
          <w:rStyle w:val="Hyperlink"/>
          <w:rFonts w:ascii="Times New Roman" w:hAnsi="Times New Roman" w:cs="Times New Roman"/>
          <w:color w:val="0071BC"/>
        </w:rPr>
        <w:t xml:space="preserve"> Li</w:t>
      </w:r>
      <w:r w:rsidRPr="00A853C1">
        <w:rPr>
          <w:rStyle w:val="authors-list-item"/>
          <w:rFonts w:ascii="Times New Roman" w:hAnsi="Times New Roman" w:cs="Times New Roman"/>
          <w:color w:val="5B616B"/>
        </w:rPr>
        <w:fldChar w:fldCharType="end"/>
      </w:r>
      <w:r w:rsidRPr="00A853C1">
        <w:rPr>
          <w:rStyle w:val="comma"/>
          <w:rFonts w:ascii="Times New Roman" w:hAnsi="Times New Roman" w:cs="Times New Roman"/>
          <w:color w:val="5B616B"/>
        </w:rPr>
        <w:t>, </w:t>
      </w:r>
      <w:hyperlink r:id="rId7" w:history="1">
        <w:r w:rsidRPr="00A853C1">
          <w:rPr>
            <w:rStyle w:val="Hyperlink"/>
            <w:rFonts w:ascii="Times New Roman" w:hAnsi="Times New Roman" w:cs="Times New Roman"/>
            <w:color w:val="0071BC"/>
          </w:rPr>
          <w:t>Dong Zhao</w:t>
        </w:r>
      </w:hyperlink>
    </w:p>
    <w:p w14:paraId="6EFF96D5" w14:textId="77777777" w:rsidR="000F6B02" w:rsidRPr="008B083D" w:rsidRDefault="000F6B02" w:rsidP="000F6B02">
      <w:pPr>
        <w:rPr>
          <w:rFonts w:ascii="Times New Roman" w:hAnsi="Times New Roman" w:cs="Times New Roman"/>
          <w:color w:val="5B616B"/>
        </w:rPr>
      </w:pPr>
      <w:r w:rsidRPr="00A853C1">
        <w:rPr>
          <w:rFonts w:ascii="Times New Roman" w:hAnsi="Times New Roman" w:cs="Times New Roman"/>
          <w:color w:val="5B616B"/>
        </w:rPr>
        <w:t>Exp Mol Med</w:t>
      </w:r>
      <w:r w:rsidRPr="00A853C1">
        <w:rPr>
          <w:rStyle w:val="period"/>
          <w:rFonts w:ascii="Times New Roman" w:hAnsi="Times New Roman" w:cs="Times New Roman"/>
          <w:color w:val="0071BC"/>
        </w:rPr>
        <w:t>.</w:t>
      </w:r>
      <w:r w:rsidRPr="00A853C1">
        <w:rPr>
          <w:rStyle w:val="apple-converted-space"/>
          <w:rFonts w:ascii="Times New Roman" w:hAnsi="Times New Roman" w:cs="Times New Roman"/>
          <w:color w:val="0071BC"/>
        </w:rPr>
        <w:t> </w:t>
      </w:r>
      <w:r w:rsidRPr="00A853C1">
        <w:rPr>
          <w:rStyle w:val="cit"/>
          <w:rFonts w:ascii="Times New Roman" w:hAnsi="Times New Roman" w:cs="Times New Roman"/>
          <w:color w:val="5B616B"/>
        </w:rPr>
        <w:t>2022 Jul 4.</w:t>
      </w:r>
      <w:r w:rsidRPr="00A853C1">
        <w:rPr>
          <w:rStyle w:val="apple-converted-space"/>
          <w:rFonts w:ascii="Times New Roman" w:hAnsi="Times New Roman" w:cs="Times New Roman"/>
        </w:rPr>
        <w:t> </w:t>
      </w:r>
      <w:proofErr w:type="spellStart"/>
      <w:r w:rsidRPr="00A853C1">
        <w:rPr>
          <w:rStyle w:val="citation-doi"/>
          <w:rFonts w:ascii="Times New Roman" w:hAnsi="Times New Roman" w:cs="Times New Roman"/>
          <w:color w:val="5B616B"/>
        </w:rPr>
        <w:t>doi</w:t>
      </w:r>
      <w:proofErr w:type="spellEnd"/>
      <w:r w:rsidRPr="00A853C1">
        <w:rPr>
          <w:rStyle w:val="citation-doi"/>
          <w:rFonts w:ascii="Times New Roman" w:hAnsi="Times New Roman" w:cs="Times New Roman"/>
          <w:color w:val="5B616B"/>
        </w:rPr>
        <w:t>: 10.1038/s12276-022-00793-1.</w:t>
      </w:r>
      <w:r w:rsidRPr="00A853C1">
        <w:rPr>
          <w:rStyle w:val="apple-converted-space"/>
          <w:rFonts w:ascii="Times New Roman" w:hAnsi="Times New Roman" w:cs="Times New Roman"/>
        </w:rPr>
        <w:t> </w:t>
      </w:r>
      <w:r w:rsidRPr="00A853C1">
        <w:rPr>
          <w:rStyle w:val="ahead-of-print"/>
          <w:rFonts w:ascii="Times New Roman" w:hAnsi="Times New Roman" w:cs="Times New Roman"/>
          <w:color w:val="5B616B"/>
        </w:rPr>
        <w:t>Online ahead of print.</w:t>
      </w:r>
    </w:p>
    <w:p w14:paraId="5E4A5BB8" w14:textId="77777777" w:rsidR="000F6B02" w:rsidRPr="00A853C1" w:rsidRDefault="000F6B02" w:rsidP="000F6B02">
      <w:pPr>
        <w:pStyle w:val="Heading2"/>
        <w:rPr>
          <w:rFonts w:ascii="Times New Roman" w:hAnsi="Times New Roman" w:cs="Times New Roman"/>
          <w:color w:val="212121"/>
          <w:sz w:val="24"/>
          <w:szCs w:val="24"/>
        </w:rPr>
      </w:pPr>
    </w:p>
    <w:p w14:paraId="65AD82E0" w14:textId="77777777" w:rsidR="000F6B02" w:rsidRPr="00A853C1" w:rsidRDefault="000F6B02" w:rsidP="000F6B02">
      <w:pPr>
        <w:pStyle w:val="Heading2"/>
        <w:rPr>
          <w:rFonts w:ascii="Times New Roman" w:hAnsi="Times New Roman" w:cs="Times New Roman"/>
          <w:color w:val="212121"/>
          <w:sz w:val="24"/>
          <w:szCs w:val="24"/>
        </w:rPr>
      </w:pPr>
      <w:r w:rsidRPr="00A853C1">
        <w:rPr>
          <w:rFonts w:ascii="Times New Roman" w:hAnsi="Times New Roman" w:cs="Times New Roman"/>
          <w:color w:val="212121"/>
          <w:sz w:val="24"/>
          <w:szCs w:val="24"/>
        </w:rPr>
        <w:t>Abstract</w:t>
      </w:r>
    </w:p>
    <w:p w14:paraId="4C82ADD5" w14:textId="77777777" w:rsidR="000F6B02" w:rsidRPr="00A853C1" w:rsidRDefault="000F6B02" w:rsidP="000F6B02">
      <w:pPr>
        <w:pStyle w:val="NormalWeb"/>
        <w:rPr>
          <w:color w:val="212121"/>
        </w:rPr>
      </w:pPr>
      <w:r w:rsidRPr="00A853C1">
        <w:rPr>
          <w:color w:val="212121"/>
        </w:rPr>
        <w:t>Prostacyclin (PGI</w:t>
      </w:r>
      <w:r w:rsidRPr="00A853C1">
        <w:rPr>
          <w:color w:val="212121"/>
          <w:vertAlign w:val="subscript"/>
        </w:rPr>
        <w:t>2</w:t>
      </w:r>
      <w:r w:rsidRPr="00A853C1">
        <w:rPr>
          <w:color w:val="212121"/>
        </w:rPr>
        <w:t>) plays key roles in shaping the immune microenvironment and modulating vasodilation, whereas its contribution to endometriosis (EMs) remains largely unclear. Our study suggested that prostacyclin synthase (PTGIS)-dependent PGI</w:t>
      </w:r>
      <w:r w:rsidRPr="00A853C1">
        <w:rPr>
          <w:color w:val="212121"/>
          <w:vertAlign w:val="subscript"/>
        </w:rPr>
        <w:t>2</w:t>
      </w:r>
      <w:r w:rsidRPr="00A853C1">
        <w:rPr>
          <w:rStyle w:val="apple-converted-space"/>
          <w:color w:val="212121"/>
        </w:rPr>
        <w:t> </w:t>
      </w:r>
      <w:proofErr w:type="spellStart"/>
      <w:r w:rsidRPr="00A853C1">
        <w:rPr>
          <w:color w:val="212121"/>
        </w:rPr>
        <w:t>signaling</w:t>
      </w:r>
      <w:proofErr w:type="spellEnd"/>
      <w:r w:rsidRPr="00A853C1">
        <w:rPr>
          <w:color w:val="212121"/>
        </w:rPr>
        <w:t xml:space="preserve"> was significantly activated in EMs, which was involved in the hypoxic microenvironment of ectopic lesions and deficient methylation status of the PTGIS promoter. Notably, in vitro assays, hypoxia promoted PTGIS expression through DNA methyltransferase 1 (DNMT1)-mediated DNA methylation deficiency in endometrial stromal cells (ESCs); PTGIS overexpression enhanced the adhesive ability of ESCs and led to elevated PGI</w:t>
      </w:r>
      <w:r w:rsidRPr="00A853C1">
        <w:rPr>
          <w:color w:val="212121"/>
          <w:vertAlign w:val="subscript"/>
        </w:rPr>
        <w:t>2</w:t>
      </w:r>
      <w:r w:rsidRPr="00A853C1">
        <w:rPr>
          <w:rStyle w:val="apple-converted-space"/>
          <w:color w:val="212121"/>
        </w:rPr>
        <w:t> </w:t>
      </w:r>
      <w:r w:rsidRPr="00A853C1">
        <w:rPr>
          <w:color w:val="212121"/>
        </w:rPr>
        <w:t>production, and PGI</w:t>
      </w:r>
      <w:r w:rsidRPr="00A853C1">
        <w:rPr>
          <w:color w:val="212121"/>
          <w:vertAlign w:val="subscript"/>
        </w:rPr>
        <w:t>2</w:t>
      </w:r>
      <w:r w:rsidRPr="00A853C1">
        <w:rPr>
          <w:rStyle w:val="apple-converted-space"/>
          <w:color w:val="212121"/>
        </w:rPr>
        <w:t> </w:t>
      </w:r>
      <w:r w:rsidRPr="00A853C1">
        <w:rPr>
          <w:color w:val="212121"/>
        </w:rPr>
        <w:t>triggered CD16</w:t>
      </w:r>
      <w:r w:rsidRPr="00A853C1">
        <w:rPr>
          <w:color w:val="212121"/>
          <w:vertAlign w:val="superscript"/>
        </w:rPr>
        <w:t>-</w:t>
      </w:r>
      <w:r w:rsidRPr="00A853C1">
        <w:rPr>
          <w:rStyle w:val="apple-converted-space"/>
          <w:color w:val="212121"/>
        </w:rPr>
        <w:t> </w:t>
      </w:r>
      <w:r w:rsidRPr="00A853C1">
        <w:rPr>
          <w:color w:val="212121"/>
        </w:rPr>
        <w:t>(encoded by FCGR3, Fc fragment of IgG receptor IIIa) natural killer (NK)-cell differentiation through PGI</w:t>
      </w:r>
      <w:r w:rsidRPr="00A853C1">
        <w:rPr>
          <w:color w:val="212121"/>
          <w:vertAlign w:val="subscript"/>
        </w:rPr>
        <w:t>2</w:t>
      </w:r>
      <w:r w:rsidRPr="00A853C1">
        <w:rPr>
          <w:rStyle w:val="apple-converted-space"/>
          <w:color w:val="212121"/>
        </w:rPr>
        <w:t> </w:t>
      </w:r>
      <w:r w:rsidRPr="00A853C1">
        <w:rPr>
          <w:color w:val="212121"/>
        </w:rPr>
        <w:t>receptor (IP, PTGIR) in an ESC/NK-cell coculture system. Our rodent model experiment suggested that treatment with the PGI</w:t>
      </w:r>
      <w:r w:rsidRPr="00A853C1">
        <w:rPr>
          <w:color w:val="212121"/>
          <w:vertAlign w:val="subscript"/>
        </w:rPr>
        <w:t>2</w:t>
      </w:r>
      <w:r w:rsidRPr="00A853C1">
        <w:rPr>
          <w:rStyle w:val="apple-converted-space"/>
          <w:color w:val="212121"/>
        </w:rPr>
        <w:t> </w:t>
      </w:r>
      <w:proofErr w:type="spellStart"/>
      <w:r w:rsidRPr="00A853C1">
        <w:rPr>
          <w:color w:val="212121"/>
        </w:rPr>
        <w:t>analog</w:t>
      </w:r>
      <w:proofErr w:type="spellEnd"/>
      <w:r w:rsidRPr="00A853C1">
        <w:rPr>
          <w:color w:val="212121"/>
        </w:rPr>
        <w:t xml:space="preserve"> </w:t>
      </w:r>
      <w:proofErr w:type="spellStart"/>
      <w:r w:rsidRPr="00A853C1">
        <w:rPr>
          <w:color w:val="212121"/>
        </w:rPr>
        <w:t>iloprost</w:t>
      </w:r>
      <w:proofErr w:type="spellEnd"/>
      <w:r w:rsidRPr="00A853C1">
        <w:rPr>
          <w:color w:val="212121"/>
        </w:rPr>
        <w:t xml:space="preserve"> and adoptive transfer of fcgr3 knockout (fcgr3</w:t>
      </w:r>
      <w:r w:rsidRPr="00A853C1">
        <w:rPr>
          <w:color w:val="212121"/>
          <w:vertAlign w:val="superscript"/>
        </w:rPr>
        <w:t>-/-</w:t>
      </w:r>
      <w:r w:rsidRPr="00A853C1">
        <w:rPr>
          <w:color w:val="212121"/>
        </w:rPr>
        <w:t xml:space="preserve">) NK cells aggravated </w:t>
      </w:r>
      <w:proofErr w:type="gramStart"/>
      <w:r w:rsidRPr="00A853C1">
        <w:rPr>
          <w:color w:val="212121"/>
        </w:rPr>
        <w:t>EMs</w:t>
      </w:r>
      <w:proofErr w:type="gramEnd"/>
      <w:r w:rsidRPr="00A853C1">
        <w:rPr>
          <w:color w:val="212121"/>
        </w:rPr>
        <w:t xml:space="preserve"> progression and that genetic ablation of </w:t>
      </w:r>
      <w:proofErr w:type="spellStart"/>
      <w:r w:rsidRPr="00A853C1">
        <w:rPr>
          <w:color w:val="212121"/>
        </w:rPr>
        <w:t>ptgis</w:t>
      </w:r>
      <w:proofErr w:type="spellEnd"/>
      <w:r w:rsidRPr="00A853C1">
        <w:rPr>
          <w:color w:val="212121"/>
        </w:rPr>
        <w:t xml:space="preserve"> (</w:t>
      </w:r>
      <w:proofErr w:type="spellStart"/>
      <w:r w:rsidRPr="00A853C1">
        <w:rPr>
          <w:color w:val="212121"/>
        </w:rPr>
        <w:t>ptgis</w:t>
      </w:r>
      <w:proofErr w:type="spellEnd"/>
      <w:r w:rsidRPr="00A853C1">
        <w:rPr>
          <w:color w:val="212121"/>
          <w:vertAlign w:val="superscript"/>
        </w:rPr>
        <w:t>-/-</w:t>
      </w:r>
      <w:r w:rsidRPr="00A853C1">
        <w:rPr>
          <w:color w:val="212121"/>
        </w:rPr>
        <w:t>) in ectopic lesions and treatment with the PTGIR antagonist RO1138452 partially rescued this outcome. Thus, our findings identified the contribution of PGI</w:t>
      </w:r>
      <w:r w:rsidRPr="00A853C1">
        <w:rPr>
          <w:color w:val="212121"/>
          <w:vertAlign w:val="subscript"/>
        </w:rPr>
        <w:t>2</w:t>
      </w:r>
      <w:r w:rsidRPr="00A853C1">
        <w:rPr>
          <w:rStyle w:val="apple-converted-space"/>
          <w:color w:val="212121"/>
        </w:rPr>
        <w:t> </w:t>
      </w:r>
      <w:r w:rsidRPr="00A853C1">
        <w:rPr>
          <w:color w:val="212121"/>
        </w:rPr>
        <w:t>to EMs progression via enhancement of the adhesive ability of ESCs and inhibition of the activity of NK cells. We hypothesized that PGI</w:t>
      </w:r>
      <w:r w:rsidRPr="00A853C1">
        <w:rPr>
          <w:color w:val="212121"/>
          <w:vertAlign w:val="subscript"/>
        </w:rPr>
        <w:t>2</w:t>
      </w:r>
      <w:r w:rsidRPr="00A853C1">
        <w:rPr>
          <w:rStyle w:val="apple-converted-space"/>
          <w:color w:val="212121"/>
        </w:rPr>
        <w:t> </w:t>
      </w:r>
      <w:r w:rsidRPr="00A853C1">
        <w:rPr>
          <w:color w:val="212121"/>
        </w:rPr>
        <w:t xml:space="preserve">is a target for </w:t>
      </w:r>
      <w:proofErr w:type="gramStart"/>
      <w:r w:rsidRPr="00A853C1">
        <w:rPr>
          <w:color w:val="212121"/>
        </w:rPr>
        <w:t>EMs</w:t>
      </w:r>
      <w:proofErr w:type="gramEnd"/>
      <w:r w:rsidRPr="00A853C1">
        <w:rPr>
          <w:color w:val="212121"/>
        </w:rPr>
        <w:t xml:space="preserve"> intervention and provide a rationale for studying pharmacological PTGIR inhibition and PTGIS genetic depletion therapies as therapeutic strategies for EMs.</w:t>
      </w:r>
    </w:p>
    <w:p w14:paraId="73CE21C1"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70EBE"/>
    <w:multiLevelType w:val="hybridMultilevel"/>
    <w:tmpl w:val="0BB4571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02"/>
    <w:rsid w:val="000F6B02"/>
    <w:rsid w:val="001C7F88"/>
    <w:rsid w:val="00432D50"/>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BC3AC3"/>
  <w15:chartTrackingRefBased/>
  <w15:docId w15:val="{572ADD81-6FBB-BC47-A51F-89F534A5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02"/>
  </w:style>
  <w:style w:type="paragraph" w:styleId="Heading1">
    <w:name w:val="heading 1"/>
    <w:basedOn w:val="Normal"/>
    <w:link w:val="Heading1Char"/>
    <w:uiPriority w:val="9"/>
    <w:qFormat/>
    <w:rsid w:val="000F6B0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F6B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B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F6B0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F6B02"/>
    <w:rPr>
      <w:color w:val="0000FF"/>
      <w:u w:val="single"/>
    </w:rPr>
  </w:style>
  <w:style w:type="character" w:customStyle="1" w:styleId="period">
    <w:name w:val="period"/>
    <w:basedOn w:val="DefaultParagraphFont"/>
    <w:rsid w:val="000F6B02"/>
  </w:style>
  <w:style w:type="character" w:customStyle="1" w:styleId="apple-converted-space">
    <w:name w:val="apple-converted-space"/>
    <w:basedOn w:val="DefaultParagraphFont"/>
    <w:rsid w:val="000F6B02"/>
  </w:style>
  <w:style w:type="character" w:customStyle="1" w:styleId="cit">
    <w:name w:val="cit"/>
    <w:basedOn w:val="DefaultParagraphFont"/>
    <w:rsid w:val="000F6B02"/>
  </w:style>
  <w:style w:type="character" w:customStyle="1" w:styleId="citation-doi">
    <w:name w:val="citation-doi"/>
    <w:basedOn w:val="DefaultParagraphFont"/>
    <w:rsid w:val="000F6B02"/>
  </w:style>
  <w:style w:type="character" w:customStyle="1" w:styleId="ahead-of-print">
    <w:name w:val="ahead-of-print"/>
    <w:basedOn w:val="DefaultParagraphFont"/>
    <w:rsid w:val="000F6B02"/>
  </w:style>
  <w:style w:type="character" w:customStyle="1" w:styleId="authors-list-item">
    <w:name w:val="authors-list-item"/>
    <w:basedOn w:val="DefaultParagraphFont"/>
    <w:rsid w:val="000F6B02"/>
  </w:style>
  <w:style w:type="character" w:customStyle="1" w:styleId="comma">
    <w:name w:val="comma"/>
    <w:basedOn w:val="DefaultParagraphFont"/>
    <w:rsid w:val="000F6B02"/>
  </w:style>
  <w:style w:type="paragraph" w:styleId="NormalWeb">
    <w:name w:val="Normal (Web)"/>
    <w:basedOn w:val="Normal"/>
    <w:uiPriority w:val="99"/>
    <w:unhideWhenUsed/>
    <w:rsid w:val="000F6B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term=Zhao+D&amp;cauthor_id=35781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term=Yang+S&amp;cauthor_id=35781537" TargetMode="External"/><Relationship Id="rId5" Type="http://schemas.openxmlformats.org/officeDocument/2006/relationships/hyperlink" Target="https://pubmed.ncbi.nlm.nih.gov/?term=Peng+H&amp;cauthor_id=357815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2022-08-02T13:43:00Z</dcterms:created>
  <dcterms:modified xsi:type="dcterms:W3CDTF">2022-08-02T13:44:00Z</dcterms:modified>
</cp:coreProperties>
</file>