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E47139" w14:textId="77777777" w:rsidR="00CD33D2" w:rsidRDefault="00CD33D2" w:rsidP="00CD33D2">
      <w:pPr>
        <w:pStyle w:val="NormalWeb"/>
      </w:pPr>
      <w:r>
        <w:rPr>
          <w:rFonts w:ascii="TimesNewRomanPSMT" w:hAnsi="TimesNewRomanPSMT"/>
        </w:rPr>
        <w:t xml:space="preserve">11) </w:t>
      </w:r>
      <w:r>
        <w:rPr>
          <w:rFonts w:ascii="TimesNewRomanPSMT" w:hAnsi="TimesNewRomanPSMT"/>
          <w:color w:val="0070BA"/>
        </w:rPr>
        <w:t xml:space="preserve">Effects of metformin, letrozole and atorvastatin on inflammation and apoptosis in experimental peritoneal and ovarian </w:t>
      </w:r>
      <w:r>
        <w:rPr>
          <w:rFonts w:ascii="TimesNewRomanPS" w:hAnsi="TimesNewRomanPS"/>
          <w:b/>
          <w:bCs/>
          <w:color w:val="0070BA"/>
        </w:rPr>
        <w:t xml:space="preserve">endometriosis </w:t>
      </w:r>
      <w:r>
        <w:rPr>
          <w:rFonts w:ascii="TimesNewRomanPSMT" w:hAnsi="TimesNewRomanPSMT"/>
          <w:color w:val="0070BA"/>
        </w:rPr>
        <w:t xml:space="preserve">in the rat. </w:t>
      </w:r>
    </w:p>
    <w:p w14:paraId="47D85167" w14:textId="77777777" w:rsidR="00CD33D2" w:rsidRDefault="00CD33D2" w:rsidP="00CD33D2">
      <w:pPr>
        <w:pStyle w:val="NormalWeb"/>
      </w:pPr>
      <w:proofErr w:type="spellStart"/>
      <w:r>
        <w:rPr>
          <w:rFonts w:ascii="TimesNewRomanPSMT" w:hAnsi="TimesNewRomanPSMT"/>
          <w:color w:val="1E1E1E"/>
        </w:rPr>
        <w:t>Sapmaz</w:t>
      </w:r>
      <w:proofErr w:type="spellEnd"/>
      <w:r>
        <w:rPr>
          <w:rFonts w:ascii="TimesNewRomanPSMT" w:hAnsi="TimesNewRomanPSMT"/>
          <w:color w:val="1E1E1E"/>
        </w:rPr>
        <w:t xml:space="preserve"> T, Coskun G, Saker D, Pence HH, </w:t>
      </w:r>
      <w:proofErr w:type="spellStart"/>
      <w:r>
        <w:rPr>
          <w:rFonts w:ascii="TimesNewRomanPSMT" w:hAnsi="TimesNewRomanPSMT"/>
          <w:color w:val="1E1E1E"/>
        </w:rPr>
        <w:t>Keles</w:t>
      </w:r>
      <w:proofErr w:type="spellEnd"/>
      <w:r>
        <w:rPr>
          <w:rFonts w:ascii="TimesNewRomanPSMT" w:hAnsi="TimesNewRomanPSMT"/>
          <w:color w:val="1E1E1E"/>
        </w:rPr>
        <w:t xml:space="preserve"> P, </w:t>
      </w:r>
      <w:proofErr w:type="spellStart"/>
      <w:r>
        <w:rPr>
          <w:rFonts w:ascii="TimesNewRomanPSMT" w:hAnsi="TimesNewRomanPSMT"/>
          <w:color w:val="1E1E1E"/>
        </w:rPr>
        <w:t>Hayretdag</w:t>
      </w:r>
      <w:proofErr w:type="spellEnd"/>
      <w:r>
        <w:rPr>
          <w:rFonts w:ascii="TimesNewRomanPSMT" w:hAnsi="TimesNewRomanPSMT"/>
          <w:color w:val="1E1E1E"/>
        </w:rPr>
        <w:t xml:space="preserve"> C, </w:t>
      </w:r>
      <w:proofErr w:type="spellStart"/>
      <w:r>
        <w:rPr>
          <w:rFonts w:ascii="TimesNewRomanPSMT" w:hAnsi="TimesNewRomanPSMT"/>
          <w:color w:val="1E1E1E"/>
        </w:rPr>
        <w:t>Kuras</w:t>
      </w:r>
      <w:proofErr w:type="spellEnd"/>
      <w:r>
        <w:rPr>
          <w:rFonts w:ascii="TimesNewRomanPSMT" w:hAnsi="TimesNewRomanPSMT"/>
          <w:color w:val="1E1E1E"/>
        </w:rPr>
        <w:t xml:space="preserve"> S, </w:t>
      </w:r>
      <w:proofErr w:type="spellStart"/>
      <w:r>
        <w:rPr>
          <w:rFonts w:ascii="TimesNewRomanPSMT" w:hAnsi="TimesNewRomanPSMT"/>
          <w:color w:val="1E1E1E"/>
        </w:rPr>
        <w:t>Topkaraoglu</w:t>
      </w:r>
      <w:proofErr w:type="spellEnd"/>
      <w:r>
        <w:rPr>
          <w:rFonts w:ascii="TimesNewRomanPSMT" w:hAnsi="TimesNewRomanPSMT"/>
          <w:color w:val="1E1E1E"/>
        </w:rPr>
        <w:t xml:space="preserve"> S, </w:t>
      </w:r>
      <w:proofErr w:type="spellStart"/>
      <w:r>
        <w:rPr>
          <w:rFonts w:ascii="TimesNewRomanPSMT" w:hAnsi="TimesNewRomanPSMT"/>
          <w:color w:val="1E1E1E"/>
        </w:rPr>
        <w:t>Erdem</w:t>
      </w:r>
      <w:proofErr w:type="spellEnd"/>
      <w:r>
        <w:rPr>
          <w:rFonts w:ascii="TimesNewRomanPSMT" w:hAnsi="TimesNewRomanPSMT"/>
          <w:color w:val="1E1E1E"/>
        </w:rPr>
        <w:t xml:space="preserve"> E, </w:t>
      </w:r>
      <w:proofErr w:type="spellStart"/>
      <w:r>
        <w:rPr>
          <w:rFonts w:ascii="TimesNewRomanPSMT" w:hAnsi="TimesNewRomanPSMT"/>
          <w:color w:val="1E1E1E"/>
        </w:rPr>
        <w:t>Efendic</w:t>
      </w:r>
      <w:proofErr w:type="spellEnd"/>
      <w:r>
        <w:rPr>
          <w:rFonts w:ascii="TimesNewRomanPSMT" w:hAnsi="TimesNewRomanPSMT"/>
          <w:color w:val="1E1E1E"/>
        </w:rPr>
        <w:t xml:space="preserve"> F, </w:t>
      </w:r>
      <w:proofErr w:type="spellStart"/>
      <w:r>
        <w:rPr>
          <w:rFonts w:ascii="TimesNewRomanPSMT" w:hAnsi="TimesNewRomanPSMT"/>
          <w:color w:val="1E1E1E"/>
        </w:rPr>
        <w:t>Sevgin</w:t>
      </w:r>
      <w:proofErr w:type="spellEnd"/>
      <w:r>
        <w:rPr>
          <w:rFonts w:ascii="TimesNewRomanPSMT" w:hAnsi="TimesNewRomanPSMT"/>
          <w:color w:val="1E1E1E"/>
        </w:rPr>
        <w:t xml:space="preserve"> K, </w:t>
      </w:r>
      <w:proofErr w:type="spellStart"/>
      <w:r>
        <w:rPr>
          <w:rFonts w:ascii="TimesNewRomanPSMT" w:hAnsi="TimesNewRomanPSMT"/>
          <w:color w:val="1E1E1E"/>
        </w:rPr>
        <w:t>Tekayev</w:t>
      </w:r>
      <w:proofErr w:type="spellEnd"/>
      <w:r>
        <w:rPr>
          <w:rFonts w:ascii="TimesNewRomanPSMT" w:hAnsi="TimesNewRomanPSMT"/>
          <w:color w:val="1E1E1E"/>
        </w:rPr>
        <w:t xml:space="preserve"> M, </w:t>
      </w:r>
      <w:proofErr w:type="spellStart"/>
      <w:r>
        <w:rPr>
          <w:rFonts w:ascii="TimesNewRomanPSMT" w:hAnsi="TimesNewRomanPSMT"/>
          <w:color w:val="1E1E1E"/>
        </w:rPr>
        <w:t>Polat</w:t>
      </w:r>
      <w:proofErr w:type="spellEnd"/>
      <w:r>
        <w:rPr>
          <w:rFonts w:ascii="TimesNewRomanPSMT" w:hAnsi="TimesNewRomanPSMT"/>
          <w:color w:val="1E1E1E"/>
        </w:rPr>
        <w:t xml:space="preserve"> S, </w:t>
      </w:r>
      <w:proofErr w:type="spellStart"/>
      <w:r>
        <w:rPr>
          <w:rFonts w:ascii="TimesNewRomanPSMT" w:hAnsi="TimesNewRomanPSMT"/>
          <w:color w:val="1E1E1E"/>
        </w:rPr>
        <w:t>Sapmaz</w:t>
      </w:r>
      <w:proofErr w:type="spellEnd"/>
      <w:r>
        <w:rPr>
          <w:rFonts w:ascii="TimesNewRomanPSMT" w:hAnsi="TimesNewRomanPSMT"/>
          <w:color w:val="1E1E1E"/>
        </w:rPr>
        <w:t xml:space="preserve"> E, </w:t>
      </w:r>
      <w:proofErr w:type="spellStart"/>
      <w:r>
        <w:rPr>
          <w:rFonts w:ascii="TimesNewRomanPSMT" w:hAnsi="TimesNewRomanPSMT"/>
          <w:color w:val="1E1E1E"/>
        </w:rPr>
        <w:t>Irkorucu</w:t>
      </w:r>
      <w:proofErr w:type="spellEnd"/>
      <w:r>
        <w:rPr>
          <w:rFonts w:ascii="TimesNewRomanPSMT" w:hAnsi="TimesNewRomanPSMT"/>
          <w:color w:val="1E1E1E"/>
        </w:rPr>
        <w:t xml:space="preserve"> </w:t>
      </w:r>
      <w:proofErr w:type="spellStart"/>
      <w:proofErr w:type="gramStart"/>
      <w:r>
        <w:rPr>
          <w:rFonts w:ascii="TimesNewRomanPSMT" w:hAnsi="TimesNewRomanPSMT"/>
          <w:color w:val="1E1E1E"/>
        </w:rPr>
        <w:t>O.</w:t>
      </w:r>
      <w:r>
        <w:rPr>
          <w:rFonts w:ascii="TimesNewRomanPSMT" w:hAnsi="TimesNewRomanPSMT"/>
          <w:color w:val="4C7F54"/>
        </w:rPr>
        <w:t>Pathol</w:t>
      </w:r>
      <w:proofErr w:type="spellEnd"/>
      <w:proofErr w:type="gramEnd"/>
      <w:r>
        <w:rPr>
          <w:rFonts w:ascii="TimesNewRomanPSMT" w:hAnsi="TimesNewRomanPSMT"/>
          <w:color w:val="4C7F54"/>
        </w:rPr>
        <w:t xml:space="preserve"> Res </w:t>
      </w:r>
      <w:proofErr w:type="spellStart"/>
      <w:r>
        <w:rPr>
          <w:rFonts w:ascii="TimesNewRomanPSMT" w:hAnsi="TimesNewRomanPSMT"/>
          <w:color w:val="4C7F54"/>
        </w:rPr>
        <w:t>Pract</w:t>
      </w:r>
      <w:proofErr w:type="spellEnd"/>
      <w:r>
        <w:rPr>
          <w:rFonts w:ascii="TimesNewRomanPSMT" w:hAnsi="TimesNewRomanPSMT"/>
          <w:color w:val="4C7F54"/>
        </w:rPr>
        <w:t xml:space="preserve">. 2022 May </w:t>
      </w:r>
      <w:proofErr w:type="gramStart"/>
      <w:r>
        <w:rPr>
          <w:rFonts w:ascii="TimesNewRomanPSMT" w:hAnsi="TimesNewRomanPSMT"/>
          <w:color w:val="4C7F54"/>
        </w:rPr>
        <w:t>23;235:153951</w:t>
      </w:r>
      <w:proofErr w:type="gramEnd"/>
      <w:r>
        <w:rPr>
          <w:rFonts w:ascii="TimesNewRomanPSMT" w:hAnsi="TimesNewRomanPSMT"/>
          <w:color w:val="4C7F54"/>
        </w:rPr>
        <w:t xml:space="preserve">. </w:t>
      </w:r>
      <w:proofErr w:type="spellStart"/>
      <w:r>
        <w:rPr>
          <w:rFonts w:ascii="TimesNewRomanPSMT" w:hAnsi="TimesNewRomanPSMT"/>
          <w:color w:val="4C7F54"/>
        </w:rPr>
        <w:t>doi</w:t>
      </w:r>
      <w:proofErr w:type="spellEnd"/>
      <w:r>
        <w:rPr>
          <w:rFonts w:ascii="TimesNewRomanPSMT" w:hAnsi="TimesNewRomanPSMT"/>
          <w:color w:val="4C7F54"/>
        </w:rPr>
        <w:t>: 10.1016/j.prp.2022.153951. Online ahead of</w:t>
      </w:r>
      <w:r>
        <w:rPr>
          <w:rFonts w:ascii="TimesNewRomanPSMT" w:hAnsi="TimesNewRomanPSMT"/>
          <w:color w:val="4C7F54"/>
        </w:rPr>
        <w:br/>
      </w:r>
      <w:proofErr w:type="spellStart"/>
      <w:proofErr w:type="gramStart"/>
      <w:r>
        <w:rPr>
          <w:rFonts w:ascii="TimesNewRomanPSMT" w:hAnsi="TimesNewRomanPSMT"/>
          <w:color w:val="4C7F54"/>
        </w:rPr>
        <w:t>print.PMID</w:t>
      </w:r>
      <w:proofErr w:type="spellEnd"/>
      <w:proofErr w:type="gramEnd"/>
      <w:r>
        <w:rPr>
          <w:rFonts w:ascii="TimesNewRomanPSMT" w:hAnsi="TimesNewRomanPSMT"/>
          <w:color w:val="4C7F54"/>
        </w:rPr>
        <w:t xml:space="preserve">: 35644046 </w:t>
      </w:r>
    </w:p>
    <w:p w14:paraId="50B7B103" w14:textId="77777777" w:rsidR="00CD33D2" w:rsidRDefault="00CD33D2" w:rsidP="00CD33D2">
      <w:pPr>
        <w:pStyle w:val="NormalWeb"/>
        <w:shd w:val="clear" w:color="auto" w:fill="FFFFFF"/>
      </w:pPr>
      <w:r>
        <w:rPr>
          <w:rFonts w:ascii="TimesNewRomanPS" w:hAnsi="TimesNewRomanPS"/>
          <w:b/>
          <w:bCs/>
          <w:color w:val="1E1E1E"/>
        </w:rPr>
        <w:t xml:space="preserve">Abstract </w:t>
      </w:r>
    </w:p>
    <w:p w14:paraId="320E9CB4" w14:textId="77777777" w:rsidR="00CD33D2" w:rsidRDefault="00CD33D2" w:rsidP="00CD33D2">
      <w:pPr>
        <w:pStyle w:val="NormalWeb"/>
        <w:shd w:val="clear" w:color="auto" w:fill="FFFFFF"/>
      </w:pPr>
      <w:r>
        <w:rPr>
          <w:rFonts w:ascii="TimesNewRomanPSMT" w:hAnsi="TimesNewRomanPSMT"/>
          <w:color w:val="1E1E1E"/>
        </w:rPr>
        <w:t xml:space="preserve">Endometriosis is a common </w:t>
      </w:r>
      <w:proofErr w:type="spellStart"/>
      <w:r>
        <w:rPr>
          <w:rFonts w:ascii="TimesNewRomanPSMT" w:hAnsi="TimesNewRomanPSMT"/>
          <w:color w:val="1E1E1E"/>
        </w:rPr>
        <w:t>gynecological</w:t>
      </w:r>
      <w:proofErr w:type="spellEnd"/>
      <w:r>
        <w:rPr>
          <w:rFonts w:ascii="TimesNewRomanPSMT" w:hAnsi="TimesNewRomanPSMT"/>
          <w:color w:val="1E1E1E"/>
        </w:rPr>
        <w:t xml:space="preserve"> hurting disorder in which tissue is </w:t>
      </w:r>
      <w:proofErr w:type="gramStart"/>
      <w:r>
        <w:rPr>
          <w:rFonts w:ascii="TimesNewRomanPSMT" w:hAnsi="TimesNewRomanPSMT"/>
          <w:color w:val="1E1E1E"/>
        </w:rPr>
        <w:t>similar to</w:t>
      </w:r>
      <w:proofErr w:type="gramEnd"/>
      <w:r>
        <w:rPr>
          <w:rFonts w:ascii="TimesNewRomanPSMT" w:hAnsi="TimesNewRomanPSMT"/>
          <w:color w:val="1E1E1E"/>
        </w:rPr>
        <w:t xml:space="preserve"> the tissue that normally lines the inner layer of the uterus. It often causes fertility problems. Unfortunately, effective treatments are limited. </w:t>
      </w:r>
      <w:proofErr w:type="gramStart"/>
      <w:r>
        <w:rPr>
          <w:rFonts w:ascii="TimesNewRomanPSMT" w:hAnsi="TimesNewRomanPSMT"/>
          <w:color w:val="1E1E1E"/>
        </w:rPr>
        <w:t>Therefore</w:t>
      </w:r>
      <w:proofErr w:type="gramEnd"/>
      <w:r>
        <w:rPr>
          <w:rFonts w:ascii="TimesNewRomanPSMT" w:hAnsi="TimesNewRomanPSMT"/>
          <w:color w:val="1E1E1E"/>
        </w:rPr>
        <w:t xml:space="preserve"> it's important to explore an imperative and easily accessible treatment to alleviate the probable pathologies and preserve fertility in endometriosis. Consequently, we aimed to investigate the effects of metformin, letrozole, and atorvastatin on inflammation and apoptosis in experimentally induced ovarian and peritoneal endometriosis in rat models. In the present study, 35 rats were randomly divided into five groups. Group 1: sham- </w:t>
      </w:r>
    </w:p>
    <w:p w14:paraId="759E6C58" w14:textId="77777777" w:rsidR="00CD33D2" w:rsidRDefault="00CD33D2" w:rsidP="00CD33D2">
      <w:pPr>
        <w:pStyle w:val="NormalWeb"/>
        <w:shd w:val="clear" w:color="auto" w:fill="FFFFFF"/>
      </w:pPr>
      <w:r>
        <w:rPr>
          <w:rFonts w:ascii="TimesNewRomanPSMT" w:hAnsi="TimesNewRomanPSMT"/>
          <w:color w:val="1E1E1E"/>
        </w:rPr>
        <w:t xml:space="preserve">operated control group. Group 2: untreated endometriosis group. Group 3: given 100 mg/kg/day of oral metformin. Group 4: given 0.1 mg/kg/day of oral letrozole. Group 5: given 2.5 mg/kg/day of oral atorvastatin. At the end of the 28 days, we examined Ki67, </w:t>
      </w:r>
      <w:proofErr w:type="spellStart"/>
      <w:r>
        <w:rPr>
          <w:rFonts w:ascii="TimesNewRomanPSMT" w:hAnsi="TimesNewRomanPSMT"/>
          <w:color w:val="1E1E1E"/>
        </w:rPr>
        <w:t>Bax</w:t>
      </w:r>
      <w:proofErr w:type="spellEnd"/>
      <w:r>
        <w:rPr>
          <w:rFonts w:ascii="TimesNewRomanPSMT" w:hAnsi="TimesNewRomanPSMT"/>
          <w:color w:val="1E1E1E"/>
        </w:rPr>
        <w:t xml:space="preserve"> and Bcl-2 </w:t>
      </w:r>
      <w:proofErr w:type="spellStart"/>
      <w:r>
        <w:rPr>
          <w:rFonts w:ascii="TimesNewRomanPSMT" w:hAnsi="TimesNewRomanPSMT"/>
          <w:color w:val="1E1E1E"/>
        </w:rPr>
        <w:t>immunoexpressions</w:t>
      </w:r>
      <w:proofErr w:type="spellEnd"/>
      <w:r>
        <w:rPr>
          <w:rFonts w:ascii="TimesNewRomanPSMT" w:hAnsi="TimesNewRomanPSMT"/>
          <w:color w:val="1E1E1E"/>
        </w:rPr>
        <w:t xml:space="preserve"> in ovarian and peritoneal tissues, and IL-6, IL-8, and TNF-α levels were evaluated from the peritoneal fluid. All medical treatment groups showed a significant decrease in Ki67 expression. A significant increase in </w:t>
      </w:r>
      <w:proofErr w:type="spellStart"/>
      <w:r>
        <w:rPr>
          <w:rFonts w:ascii="TimesNewRomanPSMT" w:hAnsi="TimesNewRomanPSMT"/>
          <w:color w:val="1E1E1E"/>
        </w:rPr>
        <w:t>Bax</w:t>
      </w:r>
      <w:proofErr w:type="spellEnd"/>
      <w:r>
        <w:rPr>
          <w:rFonts w:ascii="TimesNewRomanPSMT" w:hAnsi="TimesNewRomanPSMT"/>
          <w:color w:val="1E1E1E"/>
        </w:rPr>
        <w:t xml:space="preserve"> expression was also observed in all samples from all medical treatment groups (other than the untreated endometriosis groups). Further, a significant decrease in Bcl-2 expression was found in all medical treatment groups. IL-6, IL-8, and TNF-α levels were significantly lower in all medical treatment groups than in the endometriosis groups. In </w:t>
      </w:r>
      <w:proofErr w:type="gramStart"/>
      <w:r>
        <w:rPr>
          <w:rFonts w:ascii="TimesNewRomanPSMT" w:hAnsi="TimesNewRomanPSMT"/>
          <w:color w:val="1E1E1E"/>
        </w:rPr>
        <w:t>conclusion;</w:t>
      </w:r>
      <w:proofErr w:type="gramEnd"/>
      <w:r>
        <w:rPr>
          <w:rFonts w:ascii="TimesNewRomanPSMT" w:hAnsi="TimesNewRomanPSMT"/>
          <w:color w:val="1E1E1E"/>
        </w:rPr>
        <w:t xml:space="preserve"> Metformin, letrozole, and atorvastatin showed apoptosis induction and anti-inflammatory effects on both ovarian and peritoneal endometriosis in experimental models. </w:t>
      </w:r>
    </w:p>
    <w:p w14:paraId="59AF6CB2" w14:textId="77777777" w:rsidR="00CD33D2" w:rsidRDefault="00CD33D2" w:rsidP="00CD33D2">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Apoptosis; Atorvastatin; Cytokines; Endometriosis; Letrozole; Metformin. </w:t>
      </w:r>
    </w:p>
    <w:p w14:paraId="3494913A"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3D2"/>
    <w:rsid w:val="001C7F88"/>
    <w:rsid w:val="00432D50"/>
    <w:rsid w:val="00875F78"/>
    <w:rsid w:val="00A74000"/>
    <w:rsid w:val="00B02158"/>
    <w:rsid w:val="00BE7B39"/>
    <w:rsid w:val="00CD33D2"/>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AFDF9A5"/>
  <w15:chartTrackingRefBased/>
  <w15:docId w15:val="{7E57BFC0-BDBB-924B-909A-14869069D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D33D2"/>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7589530">
      <w:bodyDiv w:val="1"/>
      <w:marLeft w:val="0"/>
      <w:marRight w:val="0"/>
      <w:marTop w:val="0"/>
      <w:marBottom w:val="0"/>
      <w:divBdr>
        <w:top w:val="none" w:sz="0" w:space="0" w:color="auto"/>
        <w:left w:val="none" w:sz="0" w:space="0" w:color="auto"/>
        <w:bottom w:val="none" w:sz="0" w:space="0" w:color="auto"/>
        <w:right w:val="none" w:sz="0" w:space="0" w:color="auto"/>
      </w:divBdr>
      <w:divsChild>
        <w:div w:id="1253126316">
          <w:marLeft w:val="0"/>
          <w:marRight w:val="0"/>
          <w:marTop w:val="0"/>
          <w:marBottom w:val="0"/>
          <w:divBdr>
            <w:top w:val="none" w:sz="0" w:space="0" w:color="auto"/>
            <w:left w:val="none" w:sz="0" w:space="0" w:color="auto"/>
            <w:bottom w:val="none" w:sz="0" w:space="0" w:color="auto"/>
            <w:right w:val="none" w:sz="0" w:space="0" w:color="auto"/>
          </w:divBdr>
          <w:divsChild>
            <w:div w:id="709888960">
              <w:marLeft w:val="0"/>
              <w:marRight w:val="0"/>
              <w:marTop w:val="0"/>
              <w:marBottom w:val="0"/>
              <w:divBdr>
                <w:top w:val="none" w:sz="0" w:space="0" w:color="auto"/>
                <w:left w:val="none" w:sz="0" w:space="0" w:color="auto"/>
                <w:bottom w:val="none" w:sz="0" w:space="0" w:color="auto"/>
                <w:right w:val="none" w:sz="0" w:space="0" w:color="auto"/>
              </w:divBdr>
              <w:divsChild>
                <w:div w:id="1881435088">
                  <w:marLeft w:val="0"/>
                  <w:marRight w:val="0"/>
                  <w:marTop w:val="0"/>
                  <w:marBottom w:val="0"/>
                  <w:divBdr>
                    <w:top w:val="none" w:sz="0" w:space="0" w:color="auto"/>
                    <w:left w:val="none" w:sz="0" w:space="0" w:color="auto"/>
                    <w:bottom w:val="none" w:sz="0" w:space="0" w:color="auto"/>
                    <w:right w:val="none" w:sz="0" w:space="0" w:color="auto"/>
                  </w:divBdr>
                </w:div>
              </w:divsChild>
            </w:div>
            <w:div w:id="2081630680">
              <w:marLeft w:val="0"/>
              <w:marRight w:val="0"/>
              <w:marTop w:val="0"/>
              <w:marBottom w:val="0"/>
              <w:divBdr>
                <w:top w:val="none" w:sz="0" w:space="0" w:color="auto"/>
                <w:left w:val="none" w:sz="0" w:space="0" w:color="auto"/>
                <w:bottom w:val="none" w:sz="0" w:space="0" w:color="auto"/>
                <w:right w:val="none" w:sz="0" w:space="0" w:color="auto"/>
              </w:divBdr>
              <w:divsChild>
                <w:div w:id="1602687134">
                  <w:marLeft w:val="0"/>
                  <w:marRight w:val="0"/>
                  <w:marTop w:val="0"/>
                  <w:marBottom w:val="0"/>
                  <w:divBdr>
                    <w:top w:val="none" w:sz="0" w:space="0" w:color="auto"/>
                    <w:left w:val="none" w:sz="0" w:space="0" w:color="auto"/>
                    <w:bottom w:val="none" w:sz="0" w:space="0" w:color="auto"/>
                    <w:right w:val="none" w:sz="0" w:space="0" w:color="auto"/>
                  </w:divBdr>
                  <w:divsChild>
                    <w:div w:id="129035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7789168">
          <w:marLeft w:val="0"/>
          <w:marRight w:val="0"/>
          <w:marTop w:val="0"/>
          <w:marBottom w:val="0"/>
          <w:divBdr>
            <w:top w:val="none" w:sz="0" w:space="0" w:color="auto"/>
            <w:left w:val="none" w:sz="0" w:space="0" w:color="auto"/>
            <w:bottom w:val="none" w:sz="0" w:space="0" w:color="auto"/>
            <w:right w:val="none" w:sz="0" w:space="0" w:color="auto"/>
          </w:divBdr>
          <w:divsChild>
            <w:div w:id="904142055">
              <w:marLeft w:val="0"/>
              <w:marRight w:val="0"/>
              <w:marTop w:val="0"/>
              <w:marBottom w:val="0"/>
              <w:divBdr>
                <w:top w:val="none" w:sz="0" w:space="0" w:color="auto"/>
                <w:left w:val="none" w:sz="0" w:space="0" w:color="auto"/>
                <w:bottom w:val="none" w:sz="0" w:space="0" w:color="auto"/>
                <w:right w:val="none" w:sz="0" w:space="0" w:color="auto"/>
              </w:divBdr>
              <w:divsChild>
                <w:div w:id="1934705763">
                  <w:marLeft w:val="0"/>
                  <w:marRight w:val="0"/>
                  <w:marTop w:val="0"/>
                  <w:marBottom w:val="0"/>
                  <w:divBdr>
                    <w:top w:val="none" w:sz="0" w:space="0" w:color="auto"/>
                    <w:left w:val="none" w:sz="0" w:space="0" w:color="auto"/>
                    <w:bottom w:val="none" w:sz="0" w:space="0" w:color="auto"/>
                    <w:right w:val="none" w:sz="0" w:space="0" w:color="auto"/>
                  </w:divBdr>
                  <w:divsChild>
                    <w:div w:id="1030762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331</Words>
  <Characters>1892</Characters>
  <Application>Microsoft Office Word</Application>
  <DocSecurity>0</DocSecurity>
  <Lines>15</Lines>
  <Paragraphs>4</Paragraphs>
  <ScaleCrop>false</ScaleCrop>
  <Company/>
  <LinksUpToDate>false</LinksUpToDate>
  <CharactersWithSpaces>2219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2022-07-30T18:25:00Z</dcterms:created>
  <dcterms:modified xsi:type="dcterms:W3CDTF">2022-07-30T18:26:00Z</dcterms:modified>
</cp:coreProperties>
</file>