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26D065" w14:textId="77777777" w:rsidR="00035D8F" w:rsidRDefault="00035D8F" w:rsidP="00035D8F">
      <w:pPr>
        <w:pStyle w:val="NormalWeb"/>
      </w:pPr>
      <w:r>
        <w:rPr>
          <w:rFonts w:ascii="TimesNewRomanPSMT" w:hAnsi="TimesNewRomanPSMT"/>
        </w:rPr>
        <w:t xml:space="preserve">13) </w:t>
      </w:r>
      <w:r>
        <w:rPr>
          <w:rFonts w:ascii="TimesNewRomanPSMT" w:hAnsi="TimesNewRomanPSMT"/>
          <w:color w:val="0070BA"/>
        </w:rPr>
        <w:t xml:space="preserve">Extragenital </w:t>
      </w:r>
      <w:r>
        <w:rPr>
          <w:rFonts w:ascii="TimesNewRomanPS" w:hAnsi="TimesNewRomanPS"/>
          <w:b/>
          <w:bCs/>
          <w:color w:val="0070BA"/>
        </w:rPr>
        <w:t xml:space="preserve">Endometriosis </w:t>
      </w:r>
      <w:r>
        <w:rPr>
          <w:rFonts w:ascii="TimesNewRomanPSMT" w:hAnsi="TimesNewRomanPSMT"/>
          <w:color w:val="0070BA"/>
        </w:rPr>
        <w:t>in the Differential Diagnosis of Non-</w:t>
      </w:r>
      <w:proofErr w:type="spellStart"/>
      <w:r>
        <w:rPr>
          <w:rFonts w:ascii="TimesNewRomanPSMT" w:hAnsi="TimesNewRomanPSMT"/>
          <w:color w:val="0070BA"/>
        </w:rPr>
        <w:t>Gynecological</w:t>
      </w:r>
      <w:proofErr w:type="spellEnd"/>
      <w:r>
        <w:rPr>
          <w:rFonts w:ascii="TimesNewRomanPSMT" w:hAnsi="TimesNewRomanPSMT"/>
          <w:color w:val="0070BA"/>
        </w:rPr>
        <w:t xml:space="preserve"> Diseases. </w:t>
      </w:r>
    </w:p>
    <w:p w14:paraId="74157CA5" w14:textId="77777777" w:rsidR="00035D8F" w:rsidRDefault="00035D8F" w:rsidP="00035D8F">
      <w:pPr>
        <w:pStyle w:val="NormalWeb"/>
      </w:pPr>
      <w:proofErr w:type="spellStart"/>
      <w:r>
        <w:rPr>
          <w:rFonts w:ascii="TimesNewRomanPSMT" w:hAnsi="TimesNewRomanPSMT"/>
          <w:color w:val="1E1E1E"/>
        </w:rPr>
        <w:t>Lukac</w:t>
      </w:r>
      <w:proofErr w:type="spellEnd"/>
      <w:r>
        <w:rPr>
          <w:rFonts w:ascii="TimesNewRomanPSMT" w:hAnsi="TimesNewRomanPSMT"/>
          <w:color w:val="1E1E1E"/>
        </w:rPr>
        <w:t xml:space="preserve"> S, Schmid M, Pfister K, </w:t>
      </w:r>
      <w:proofErr w:type="spellStart"/>
      <w:r>
        <w:rPr>
          <w:rFonts w:ascii="TimesNewRomanPSMT" w:hAnsi="TimesNewRomanPSMT"/>
          <w:color w:val="1E1E1E"/>
        </w:rPr>
        <w:t>Janni</w:t>
      </w:r>
      <w:proofErr w:type="spellEnd"/>
      <w:r>
        <w:rPr>
          <w:rFonts w:ascii="TimesNewRomanPSMT" w:hAnsi="TimesNewRomanPSMT"/>
          <w:color w:val="1E1E1E"/>
        </w:rPr>
        <w:t xml:space="preserve"> W, </w:t>
      </w:r>
      <w:proofErr w:type="spellStart"/>
      <w:r>
        <w:rPr>
          <w:rFonts w:ascii="TimesNewRomanPSMT" w:hAnsi="TimesNewRomanPSMT"/>
          <w:color w:val="1E1E1E"/>
        </w:rPr>
        <w:t>Schäffler</w:t>
      </w:r>
      <w:proofErr w:type="spellEnd"/>
      <w:r>
        <w:rPr>
          <w:rFonts w:ascii="TimesNewRomanPSMT" w:hAnsi="TimesNewRomanPSMT"/>
          <w:color w:val="1E1E1E"/>
        </w:rPr>
        <w:t xml:space="preserve"> H, Dayan </w:t>
      </w:r>
      <w:proofErr w:type="spellStart"/>
      <w:proofErr w:type="gramStart"/>
      <w:r>
        <w:rPr>
          <w:rFonts w:ascii="TimesNewRomanPSMT" w:hAnsi="TimesNewRomanPSMT"/>
          <w:color w:val="1E1E1E"/>
        </w:rPr>
        <w:t>D.</w:t>
      </w:r>
      <w:r>
        <w:rPr>
          <w:rFonts w:ascii="TimesNewRomanPSMT" w:hAnsi="TimesNewRomanPSMT"/>
          <w:color w:val="4C7F54"/>
        </w:rPr>
        <w:t>Dtsch</w:t>
      </w:r>
      <w:proofErr w:type="spellEnd"/>
      <w:proofErr w:type="gramEnd"/>
      <w:r>
        <w:rPr>
          <w:rFonts w:ascii="TimesNewRomanPSMT" w:hAnsi="TimesNewRomanPSMT"/>
          <w:color w:val="4C7F54"/>
        </w:rPr>
        <w:t xml:space="preserve"> </w:t>
      </w:r>
      <w:proofErr w:type="spellStart"/>
      <w:r>
        <w:rPr>
          <w:rFonts w:ascii="TimesNewRomanPSMT" w:hAnsi="TimesNewRomanPSMT"/>
          <w:color w:val="4C7F54"/>
        </w:rPr>
        <w:t>Arztebl</w:t>
      </w:r>
      <w:proofErr w:type="spellEnd"/>
      <w:r>
        <w:rPr>
          <w:rFonts w:ascii="TimesNewRomanPSMT" w:hAnsi="TimesNewRomanPSMT"/>
          <w:color w:val="4C7F54"/>
        </w:rPr>
        <w:t xml:space="preserve"> Int. 2022 May 23;(Forthcoming):arztebl.m2022.0176. </w:t>
      </w:r>
      <w:proofErr w:type="spellStart"/>
      <w:r>
        <w:rPr>
          <w:rFonts w:ascii="TimesNewRomanPSMT" w:hAnsi="TimesNewRomanPSMT"/>
          <w:color w:val="4C7F54"/>
        </w:rPr>
        <w:t>doi</w:t>
      </w:r>
      <w:proofErr w:type="spellEnd"/>
      <w:r>
        <w:rPr>
          <w:rFonts w:ascii="TimesNewRomanPSMT" w:hAnsi="TimesNewRomanPSMT"/>
          <w:color w:val="4C7F54"/>
        </w:rPr>
        <w:t xml:space="preserve">: 10.3238/arztebl.m2022.0176. Online ahead of </w:t>
      </w:r>
      <w:proofErr w:type="spellStart"/>
      <w:proofErr w:type="gramStart"/>
      <w:r>
        <w:rPr>
          <w:rFonts w:ascii="TimesNewRomanPSMT" w:hAnsi="TimesNewRomanPSMT"/>
          <w:color w:val="4C7F54"/>
        </w:rPr>
        <w:t>print.PMID</w:t>
      </w:r>
      <w:proofErr w:type="spellEnd"/>
      <w:proofErr w:type="gramEnd"/>
      <w:r>
        <w:rPr>
          <w:rFonts w:ascii="TimesNewRomanPSMT" w:hAnsi="TimesNewRomanPSMT"/>
          <w:color w:val="4C7F54"/>
        </w:rPr>
        <w:t xml:space="preserve">: 35477509 </w:t>
      </w:r>
      <w:r>
        <w:rPr>
          <w:rFonts w:ascii="TimesNewRomanPS" w:hAnsi="TimesNewRomanPS"/>
          <w:b/>
          <w:bCs/>
          <w:color w:val="BF5400"/>
        </w:rPr>
        <w:t xml:space="preserve">Free article. </w:t>
      </w:r>
    </w:p>
    <w:p w14:paraId="775BAA7E" w14:textId="77777777" w:rsidR="00035D8F" w:rsidRDefault="00035D8F" w:rsidP="00035D8F">
      <w:pPr>
        <w:pStyle w:val="NormalWeb"/>
        <w:shd w:val="clear" w:color="auto" w:fill="FFFFFF"/>
      </w:pPr>
      <w:r>
        <w:rPr>
          <w:rFonts w:ascii="TimesNewRomanPS" w:hAnsi="TimesNewRomanPS"/>
          <w:b/>
          <w:bCs/>
          <w:color w:val="1E1E1E"/>
        </w:rPr>
        <w:t xml:space="preserve">Abstract </w:t>
      </w:r>
    </w:p>
    <w:p w14:paraId="12A89AFD" w14:textId="77777777" w:rsidR="00035D8F" w:rsidRDefault="00035D8F" w:rsidP="00035D8F">
      <w:pPr>
        <w:pStyle w:val="NormalWeb"/>
        <w:shd w:val="clear" w:color="auto" w:fill="FFFFFF"/>
      </w:pPr>
      <w:r>
        <w:rPr>
          <w:rFonts w:ascii="TimesNewRomanPS" w:hAnsi="TimesNewRomanPS"/>
          <w:b/>
          <w:bCs/>
          <w:color w:val="1E1E1E"/>
        </w:rPr>
        <w:t xml:space="preserve">Background: </w:t>
      </w:r>
      <w:r>
        <w:rPr>
          <w:rFonts w:ascii="TimesNewRomanPSMT" w:hAnsi="TimesNewRomanPSMT"/>
          <w:color w:val="1E1E1E"/>
        </w:rPr>
        <w:t xml:space="preserve">Endometriosis is a chronic, benign disease that affects approximately 10% of women of childbearing age. Its characteristic clinical features are dysmenorrhea, </w:t>
      </w:r>
      <w:proofErr w:type="spellStart"/>
      <w:r>
        <w:rPr>
          <w:rFonts w:ascii="TimesNewRomanPSMT" w:hAnsi="TimesNewRomanPSMT"/>
          <w:color w:val="1E1E1E"/>
        </w:rPr>
        <w:t>dyschezia</w:t>
      </w:r>
      <w:proofErr w:type="spellEnd"/>
      <w:r>
        <w:rPr>
          <w:rFonts w:ascii="TimesNewRomanPSMT" w:hAnsi="TimesNewRomanPSMT"/>
          <w:color w:val="1E1E1E"/>
        </w:rPr>
        <w:t xml:space="preserve">, dysuria, dyspareunia, and infertility. The manifestations of extragenital endometriosis (EE) are a diagnostic challenge, as this disease can mimic other diseases due to its unusual location with infiltration of various organs and corresponding symptoms. </w:t>
      </w:r>
    </w:p>
    <w:p w14:paraId="694E8F16" w14:textId="77777777" w:rsidR="00035D8F" w:rsidRDefault="00035D8F" w:rsidP="00035D8F">
      <w:pPr>
        <w:pStyle w:val="NormalWeb"/>
        <w:shd w:val="clear" w:color="auto" w:fill="FFFFFF"/>
      </w:pPr>
      <w:r>
        <w:rPr>
          <w:rFonts w:ascii="TimesNewRomanPS" w:hAnsi="TimesNewRomanPS"/>
          <w:b/>
          <w:bCs/>
          <w:color w:val="1E1E1E"/>
        </w:rPr>
        <w:t xml:space="preserve">Methods: </w:t>
      </w:r>
      <w:r>
        <w:rPr>
          <w:rFonts w:ascii="TimesNewRomanPSMT" w:hAnsi="TimesNewRomanPSMT"/>
          <w:color w:val="1E1E1E"/>
        </w:rPr>
        <w:t xml:space="preserve">This review is based on publications retrieved by a selective search of the literature on the commonest extragenital sites of endometriosis, including the relevant current guideline. </w:t>
      </w:r>
    </w:p>
    <w:p w14:paraId="05D41B28" w14:textId="77777777" w:rsidR="00035D8F" w:rsidRDefault="00035D8F" w:rsidP="00035D8F">
      <w:pPr>
        <w:pStyle w:val="NormalWeb"/>
        <w:shd w:val="clear" w:color="auto" w:fill="FFFFFF"/>
      </w:pPr>
      <w:r>
        <w:rPr>
          <w:rFonts w:ascii="TimesNewRomanPS" w:hAnsi="TimesNewRomanPS"/>
          <w:b/>
          <w:bCs/>
          <w:color w:val="1E1E1E"/>
        </w:rPr>
        <w:t xml:space="preserve">Results: </w:t>
      </w:r>
      <w:r>
        <w:rPr>
          <w:rFonts w:ascii="TimesNewRomanPSMT" w:hAnsi="TimesNewRomanPSMT"/>
          <w:color w:val="1E1E1E"/>
        </w:rPr>
        <w:t xml:space="preserve">Current evidence on the treatment of extragenital endometriosis consists largely of cohort studies and cross-sectional studies. The treatment is either surgical and/or conservative (e.g., hormonal therapy). Gastrointestinal endometriosis is the most common form of EE, affecting the rectum and sigmoid colon in nearly 90% of cases and typically presenting with </w:t>
      </w:r>
      <w:proofErr w:type="spellStart"/>
      <w:r>
        <w:rPr>
          <w:rFonts w:ascii="TimesNewRomanPSMT" w:hAnsi="TimesNewRomanPSMT"/>
          <w:color w:val="1E1E1E"/>
        </w:rPr>
        <w:t>dyschezia</w:t>
      </w:r>
      <w:proofErr w:type="spellEnd"/>
      <w:r>
        <w:rPr>
          <w:rFonts w:ascii="TimesNewRomanPSMT" w:hAnsi="TimesNewRomanPSMT"/>
          <w:color w:val="1E1E1E"/>
        </w:rPr>
        <w:t xml:space="preserve">. Urogenital endometriosis is the second most common form of EE. It affects the bladder in more than 85% of cases and may present with dysuria, </w:t>
      </w:r>
      <w:proofErr w:type="spellStart"/>
      <w:r>
        <w:rPr>
          <w:rFonts w:ascii="TimesNewRomanPSMT" w:hAnsi="TimesNewRomanPSMT"/>
          <w:color w:val="1E1E1E"/>
        </w:rPr>
        <w:t>hematuria</w:t>
      </w:r>
      <w:proofErr w:type="spellEnd"/>
      <w:r>
        <w:rPr>
          <w:rFonts w:ascii="TimesNewRomanPSMT" w:hAnsi="TimesNewRomanPSMT"/>
          <w:color w:val="1E1E1E"/>
        </w:rPr>
        <w:t xml:space="preserve">, or irritable bladder </w:t>
      </w:r>
    </w:p>
    <w:p w14:paraId="3522910B" w14:textId="77777777" w:rsidR="00035D8F" w:rsidRDefault="00035D8F" w:rsidP="00035D8F">
      <w:pPr>
        <w:pStyle w:val="NormalWeb"/>
        <w:shd w:val="clear" w:color="auto" w:fill="FFFFFF"/>
      </w:pPr>
      <w:r>
        <w:rPr>
          <w:rFonts w:ascii="TimesNewRomanPSMT" w:hAnsi="TimesNewRomanPSMT"/>
          <w:color w:val="1E1E1E"/>
        </w:rPr>
        <w:t xml:space="preserve">syndrome. The diaphragm is the most common site of thoracic endometriosis, potentially presenting with period-associated shoulder pain or catamenial pneumothorax. Endometriosis affecting a nerve often presents with sciatica. In abdominal wall endometriosis, painful nodules arise in scars from prior abdominal surgery. </w:t>
      </w:r>
    </w:p>
    <w:p w14:paraId="0A231FBA" w14:textId="77777777" w:rsidR="00035D8F" w:rsidRDefault="00035D8F" w:rsidP="00035D8F">
      <w:pPr>
        <w:pStyle w:val="NormalWeb"/>
        <w:shd w:val="clear" w:color="auto" w:fill="FFFFFF"/>
      </w:pPr>
      <w:r>
        <w:rPr>
          <w:rFonts w:ascii="TimesNewRomanPS" w:hAnsi="TimesNewRomanPS"/>
          <w:b/>
          <w:bCs/>
          <w:color w:val="1E1E1E"/>
        </w:rPr>
        <w:t xml:space="preserve">Conclusion: </w:t>
      </w:r>
      <w:r>
        <w:rPr>
          <w:rFonts w:ascii="TimesNewRomanPSMT" w:hAnsi="TimesNewRomanPSMT"/>
          <w:color w:val="1E1E1E"/>
        </w:rPr>
        <w:t xml:space="preserve">There is, as </w:t>
      </w:r>
      <w:proofErr w:type="gramStart"/>
      <w:r>
        <w:rPr>
          <w:rFonts w:ascii="TimesNewRomanPSMT" w:hAnsi="TimesNewRomanPSMT"/>
          <w:color w:val="1E1E1E"/>
        </w:rPr>
        <w:t>yet,</w:t>
      </w:r>
      <w:proofErr w:type="gramEnd"/>
      <w:r>
        <w:rPr>
          <w:rFonts w:ascii="TimesNewRomanPSMT" w:hAnsi="TimesNewRomanPSMT"/>
          <w:color w:val="1E1E1E"/>
        </w:rPr>
        <w:t xml:space="preserve"> no causally directed treatment for chronic endometriosis. The treatment is decided upon individually in discussion with the patient, in consideration of risk factors and after assessment of the benefits and risks. Timely diagnosis is essential. </w:t>
      </w:r>
    </w:p>
    <w:p w14:paraId="7228ECD2"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imesNewRomanPSMT">
    <w:altName w:val="Times New Roman"/>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D8F"/>
    <w:rsid w:val="00035D8F"/>
    <w:rsid w:val="001C7F88"/>
    <w:rsid w:val="00432D50"/>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D4CDBEF"/>
  <w15:chartTrackingRefBased/>
  <w15:docId w15:val="{AFBB4904-6A25-6B4C-8909-86F77A8181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35D8F"/>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0796051">
      <w:bodyDiv w:val="1"/>
      <w:marLeft w:val="0"/>
      <w:marRight w:val="0"/>
      <w:marTop w:val="0"/>
      <w:marBottom w:val="0"/>
      <w:divBdr>
        <w:top w:val="none" w:sz="0" w:space="0" w:color="auto"/>
        <w:left w:val="none" w:sz="0" w:space="0" w:color="auto"/>
        <w:bottom w:val="none" w:sz="0" w:space="0" w:color="auto"/>
        <w:right w:val="none" w:sz="0" w:space="0" w:color="auto"/>
      </w:divBdr>
      <w:divsChild>
        <w:div w:id="281619254">
          <w:marLeft w:val="0"/>
          <w:marRight w:val="0"/>
          <w:marTop w:val="0"/>
          <w:marBottom w:val="0"/>
          <w:divBdr>
            <w:top w:val="none" w:sz="0" w:space="0" w:color="auto"/>
            <w:left w:val="none" w:sz="0" w:space="0" w:color="auto"/>
            <w:bottom w:val="none" w:sz="0" w:space="0" w:color="auto"/>
            <w:right w:val="none" w:sz="0" w:space="0" w:color="auto"/>
          </w:divBdr>
          <w:divsChild>
            <w:div w:id="1918056664">
              <w:marLeft w:val="0"/>
              <w:marRight w:val="0"/>
              <w:marTop w:val="0"/>
              <w:marBottom w:val="0"/>
              <w:divBdr>
                <w:top w:val="none" w:sz="0" w:space="0" w:color="auto"/>
                <w:left w:val="none" w:sz="0" w:space="0" w:color="auto"/>
                <w:bottom w:val="none" w:sz="0" w:space="0" w:color="auto"/>
                <w:right w:val="none" w:sz="0" w:space="0" w:color="auto"/>
              </w:divBdr>
              <w:divsChild>
                <w:div w:id="941688055">
                  <w:marLeft w:val="0"/>
                  <w:marRight w:val="0"/>
                  <w:marTop w:val="0"/>
                  <w:marBottom w:val="0"/>
                  <w:divBdr>
                    <w:top w:val="none" w:sz="0" w:space="0" w:color="auto"/>
                    <w:left w:val="none" w:sz="0" w:space="0" w:color="auto"/>
                    <w:bottom w:val="none" w:sz="0" w:space="0" w:color="auto"/>
                    <w:right w:val="none" w:sz="0" w:space="0" w:color="auto"/>
                  </w:divBdr>
                </w:div>
              </w:divsChild>
            </w:div>
            <w:div w:id="1135953418">
              <w:marLeft w:val="0"/>
              <w:marRight w:val="0"/>
              <w:marTop w:val="0"/>
              <w:marBottom w:val="0"/>
              <w:divBdr>
                <w:top w:val="none" w:sz="0" w:space="0" w:color="auto"/>
                <w:left w:val="none" w:sz="0" w:space="0" w:color="auto"/>
                <w:bottom w:val="none" w:sz="0" w:space="0" w:color="auto"/>
                <w:right w:val="none" w:sz="0" w:space="0" w:color="auto"/>
              </w:divBdr>
              <w:divsChild>
                <w:div w:id="746463886">
                  <w:marLeft w:val="0"/>
                  <w:marRight w:val="0"/>
                  <w:marTop w:val="0"/>
                  <w:marBottom w:val="0"/>
                  <w:divBdr>
                    <w:top w:val="none" w:sz="0" w:space="0" w:color="auto"/>
                    <w:left w:val="none" w:sz="0" w:space="0" w:color="auto"/>
                    <w:bottom w:val="none" w:sz="0" w:space="0" w:color="auto"/>
                    <w:right w:val="none" w:sz="0" w:space="0" w:color="auto"/>
                  </w:divBdr>
                  <w:divsChild>
                    <w:div w:id="1200163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5415044">
          <w:marLeft w:val="0"/>
          <w:marRight w:val="0"/>
          <w:marTop w:val="0"/>
          <w:marBottom w:val="0"/>
          <w:divBdr>
            <w:top w:val="none" w:sz="0" w:space="0" w:color="auto"/>
            <w:left w:val="none" w:sz="0" w:space="0" w:color="auto"/>
            <w:bottom w:val="none" w:sz="0" w:space="0" w:color="auto"/>
            <w:right w:val="none" w:sz="0" w:space="0" w:color="auto"/>
          </w:divBdr>
          <w:divsChild>
            <w:div w:id="967974943">
              <w:marLeft w:val="0"/>
              <w:marRight w:val="0"/>
              <w:marTop w:val="0"/>
              <w:marBottom w:val="0"/>
              <w:divBdr>
                <w:top w:val="none" w:sz="0" w:space="0" w:color="auto"/>
                <w:left w:val="none" w:sz="0" w:space="0" w:color="auto"/>
                <w:bottom w:val="none" w:sz="0" w:space="0" w:color="auto"/>
                <w:right w:val="none" w:sz="0" w:space="0" w:color="auto"/>
              </w:divBdr>
              <w:divsChild>
                <w:div w:id="542333633">
                  <w:marLeft w:val="0"/>
                  <w:marRight w:val="0"/>
                  <w:marTop w:val="0"/>
                  <w:marBottom w:val="0"/>
                  <w:divBdr>
                    <w:top w:val="none" w:sz="0" w:space="0" w:color="auto"/>
                    <w:left w:val="none" w:sz="0" w:space="0" w:color="auto"/>
                    <w:bottom w:val="none" w:sz="0" w:space="0" w:color="auto"/>
                    <w:right w:val="none" w:sz="0" w:space="0" w:color="auto"/>
                  </w:divBdr>
                  <w:divsChild>
                    <w:div w:id="1471482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312</Words>
  <Characters>1785</Characters>
  <Application>Microsoft Office Word</Application>
  <DocSecurity>0</DocSecurity>
  <Lines>14</Lines>
  <Paragraphs>4</Paragraphs>
  <ScaleCrop>false</ScaleCrop>
  <Company/>
  <LinksUpToDate>false</LinksUpToDate>
  <CharactersWithSpaces>2093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2022-07-30T18:26:00Z</dcterms:created>
  <dcterms:modified xsi:type="dcterms:W3CDTF">2022-07-30T18:26:00Z</dcterms:modified>
</cp:coreProperties>
</file>