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13FB8" w14:textId="77777777" w:rsidR="00D407FB" w:rsidRDefault="00D407FB" w:rsidP="00D407FB">
      <w:pPr>
        <w:pStyle w:val="NormalWeb"/>
      </w:pPr>
      <w:r>
        <w:rPr>
          <w:rFonts w:ascii="TimesNewRomanPSMT" w:hAnsi="TimesNewRomanPSMT"/>
        </w:rPr>
        <w:t xml:space="preserve">18) </w:t>
      </w:r>
      <w:r>
        <w:rPr>
          <w:rFonts w:ascii="TimesNewRomanPSMT" w:hAnsi="TimesNewRomanPSMT"/>
          <w:color w:val="0070BA"/>
        </w:rPr>
        <w:t xml:space="preserve">Pesticide residue intake from fruit and vegetable consumption and risk of </w:t>
      </w:r>
      <w:proofErr w:type="gramStart"/>
      <w:r>
        <w:rPr>
          <w:rFonts w:ascii="TimesNewRomanPSMT" w:hAnsi="TimesNewRomanPSMT"/>
          <w:color w:val="0070BA"/>
        </w:rPr>
        <w:t>laparoscopically-confirmed</w:t>
      </w:r>
      <w:proofErr w:type="gramEnd"/>
      <w:r>
        <w:rPr>
          <w:rFonts w:ascii="TimesNewRomanPSMT" w:hAnsi="TimesNewRomanPSMT"/>
          <w:color w:val="0070BA"/>
        </w:rPr>
        <w:t xml:space="preserve"> </w:t>
      </w:r>
      <w:r>
        <w:rPr>
          <w:rFonts w:ascii="TimesNewRomanPS" w:hAnsi="TimesNewRomanPS"/>
          <w:b/>
          <w:bCs/>
          <w:color w:val="0070BA"/>
        </w:rPr>
        <w:t>endometriosis</w:t>
      </w:r>
      <w:r>
        <w:rPr>
          <w:rFonts w:ascii="TimesNewRomanPSMT" w:hAnsi="TimesNewRomanPSMT"/>
          <w:color w:val="0070BA"/>
        </w:rPr>
        <w:t xml:space="preserve">. </w:t>
      </w:r>
    </w:p>
    <w:p w14:paraId="3B965AD9" w14:textId="77777777" w:rsidR="00D407FB" w:rsidRDefault="00D407FB" w:rsidP="00D407FB">
      <w:pPr>
        <w:pStyle w:val="NormalWeb"/>
      </w:pPr>
      <w:proofErr w:type="spellStart"/>
      <w:r>
        <w:rPr>
          <w:rFonts w:ascii="TimesNewRomanPSMT" w:hAnsi="TimesNewRomanPSMT"/>
          <w:color w:val="1E1E1E"/>
        </w:rPr>
        <w:t>Garzia</w:t>
      </w:r>
      <w:proofErr w:type="spellEnd"/>
      <w:r>
        <w:rPr>
          <w:rFonts w:ascii="TimesNewRomanPSMT" w:hAnsi="TimesNewRomanPSMT"/>
          <w:color w:val="1E1E1E"/>
        </w:rPr>
        <w:t xml:space="preserve"> NA, Cushing-Haugen K, Chiu YH, Sandoval-</w:t>
      </w:r>
      <w:proofErr w:type="spellStart"/>
      <w:r>
        <w:rPr>
          <w:rFonts w:ascii="TimesNewRomanPSMT" w:hAnsi="TimesNewRomanPSMT"/>
          <w:color w:val="1E1E1E"/>
        </w:rPr>
        <w:t>Insausti</w:t>
      </w:r>
      <w:proofErr w:type="spellEnd"/>
      <w:r>
        <w:rPr>
          <w:rFonts w:ascii="TimesNewRomanPSMT" w:hAnsi="TimesNewRomanPSMT"/>
          <w:color w:val="1E1E1E"/>
        </w:rPr>
        <w:t xml:space="preserve"> H, </w:t>
      </w:r>
      <w:proofErr w:type="spellStart"/>
      <w:r>
        <w:rPr>
          <w:rFonts w:ascii="TimesNewRomanPSMT" w:hAnsi="TimesNewRomanPSMT"/>
          <w:color w:val="1E1E1E"/>
        </w:rPr>
        <w:t>Chavarro</w:t>
      </w:r>
      <w:proofErr w:type="spellEnd"/>
      <w:r>
        <w:rPr>
          <w:rFonts w:ascii="TimesNewRomanPSMT" w:hAnsi="TimesNewRomanPSMT"/>
          <w:color w:val="1E1E1E"/>
        </w:rPr>
        <w:t xml:space="preserve"> JE, </w:t>
      </w:r>
      <w:proofErr w:type="spellStart"/>
      <w:r>
        <w:rPr>
          <w:rFonts w:ascii="TimesNewRomanPSMT" w:hAnsi="TimesNewRomanPSMT"/>
          <w:color w:val="1E1E1E"/>
        </w:rPr>
        <w:t>Missmer</w:t>
      </w:r>
      <w:proofErr w:type="spellEnd"/>
      <w:r>
        <w:rPr>
          <w:rFonts w:ascii="TimesNewRomanPSMT" w:hAnsi="TimesNewRomanPSMT"/>
          <w:color w:val="1E1E1E"/>
        </w:rPr>
        <w:t xml:space="preserve"> SA, Harris </w:t>
      </w:r>
      <w:proofErr w:type="gramStart"/>
      <w:r>
        <w:rPr>
          <w:rFonts w:ascii="TimesNewRomanPSMT" w:hAnsi="TimesNewRomanPSMT"/>
          <w:color w:val="1E1E1E"/>
        </w:rPr>
        <w:t>HR.</w:t>
      </w:r>
      <w:r>
        <w:rPr>
          <w:rFonts w:ascii="TimesNewRomanPSMT" w:hAnsi="TimesNewRomanPSMT"/>
          <w:color w:val="4C7F54"/>
        </w:rPr>
        <w:t>F</w:t>
      </w:r>
      <w:proofErr w:type="gramEnd"/>
      <w:r>
        <w:rPr>
          <w:rFonts w:ascii="TimesNewRomanPSMT" w:hAnsi="TimesNewRomanPSMT"/>
          <w:color w:val="4C7F54"/>
        </w:rPr>
        <w:t xml:space="preserve"> S Sci. 2022 May 19:S2666-335X(22)00040-4. </w:t>
      </w:r>
      <w:proofErr w:type="spellStart"/>
      <w:r>
        <w:rPr>
          <w:rFonts w:ascii="TimesNewRomanPSMT" w:hAnsi="TimesNewRomanPSMT"/>
          <w:color w:val="4C7F54"/>
        </w:rPr>
        <w:t>doi</w:t>
      </w:r>
      <w:proofErr w:type="spellEnd"/>
      <w:r>
        <w:rPr>
          <w:rFonts w:ascii="TimesNewRomanPSMT" w:hAnsi="TimesNewRomanPSMT"/>
          <w:color w:val="4C7F54"/>
        </w:rPr>
        <w:t xml:space="preserve">: 10.1016/j.xfss.2022.05.002.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35598776 </w:t>
      </w:r>
    </w:p>
    <w:p w14:paraId="12280AFB" w14:textId="77777777" w:rsidR="00D407FB" w:rsidRDefault="00D407FB" w:rsidP="00D407FB">
      <w:pPr>
        <w:pStyle w:val="NormalWeb"/>
        <w:shd w:val="clear" w:color="auto" w:fill="FFFFFF"/>
      </w:pPr>
      <w:r>
        <w:rPr>
          <w:rFonts w:ascii="TimesNewRomanPS" w:hAnsi="TimesNewRomanPS"/>
          <w:b/>
          <w:bCs/>
          <w:color w:val="1E1E1E"/>
        </w:rPr>
        <w:t xml:space="preserve">Abstract </w:t>
      </w:r>
    </w:p>
    <w:p w14:paraId="2539F1FD" w14:textId="77777777" w:rsidR="00D407FB" w:rsidRDefault="00D407FB" w:rsidP="00D407FB">
      <w:pPr>
        <w:pStyle w:val="NormalWeb"/>
        <w:shd w:val="clear" w:color="auto" w:fill="FFFFFF"/>
      </w:pPr>
      <w:r>
        <w:rPr>
          <w:rFonts w:ascii="TimesNewRomanPS" w:hAnsi="TimesNewRomanPS"/>
          <w:b/>
          <w:bCs/>
          <w:color w:val="1E1E1E"/>
        </w:rPr>
        <w:t xml:space="preserve">Objective: </w:t>
      </w:r>
      <w:r>
        <w:rPr>
          <w:rFonts w:ascii="TimesNewRomanPSMT" w:hAnsi="TimesNewRomanPSMT"/>
          <w:color w:val="1E1E1E"/>
        </w:rPr>
        <w:t xml:space="preserve">To examine the association between intake of fruits and vegetables with high versus low pesticide residue burden and diagnosis of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The </w:t>
      </w:r>
      <w:proofErr w:type="spellStart"/>
      <w:r>
        <w:rPr>
          <w:rFonts w:ascii="TimesNewRomanPSMT" w:hAnsi="TimesNewRomanPSMT"/>
          <w:color w:val="1E1E1E"/>
        </w:rPr>
        <w:t>etiology</w:t>
      </w:r>
      <w:proofErr w:type="spellEnd"/>
      <w:r>
        <w:rPr>
          <w:rFonts w:ascii="TimesNewRomanPSMT" w:hAnsi="TimesNewRomanPSMT"/>
          <w:color w:val="1E1E1E"/>
        </w:rPr>
        <w:t xml:space="preserve"> of endometriosis is not well understood, but dietary factors may influence risk. Pesticides may act as endocrine disruptors and intake of pesticide contaminated food is a common exposure pathway. </w:t>
      </w:r>
    </w:p>
    <w:p w14:paraId="3B05303B" w14:textId="77777777" w:rsidR="00D407FB" w:rsidRDefault="00D407FB" w:rsidP="00D407FB">
      <w:pPr>
        <w:pStyle w:val="NormalWeb"/>
        <w:shd w:val="clear" w:color="auto" w:fill="FFFFFF"/>
      </w:pPr>
      <w:r>
        <w:rPr>
          <w:rFonts w:ascii="TimesNewRomanPS" w:hAnsi="TimesNewRomanPS"/>
          <w:b/>
          <w:bCs/>
          <w:color w:val="1E1E1E"/>
        </w:rPr>
        <w:t xml:space="preserve">Design: </w:t>
      </w:r>
      <w:r>
        <w:rPr>
          <w:rFonts w:ascii="TimesNewRomanPSMT" w:hAnsi="TimesNewRomanPSMT"/>
          <w:color w:val="1E1E1E"/>
        </w:rPr>
        <w:t xml:space="preserve">Prospective cohort study. Hazard Ratios (HR) and 95% confidence intervals (95% CI) were calculated using multivariable Cox proportional hazard models to evaluate high and low pesticide residue fruit and vegetable intake in relation to diagnosis of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w:t>
      </w:r>
    </w:p>
    <w:p w14:paraId="51181F8C" w14:textId="77777777" w:rsidR="00D407FB" w:rsidRDefault="00D407FB" w:rsidP="00D407FB">
      <w:pPr>
        <w:pStyle w:val="NormalWeb"/>
        <w:shd w:val="clear" w:color="auto" w:fill="FFFFFF"/>
      </w:pPr>
      <w:r>
        <w:rPr>
          <w:rFonts w:ascii="TimesNewRomanPS" w:hAnsi="TimesNewRomanPS"/>
          <w:b/>
          <w:bCs/>
          <w:color w:val="1E1E1E"/>
        </w:rPr>
        <w:t xml:space="preserve">Setting: </w:t>
      </w:r>
      <w:r>
        <w:rPr>
          <w:rFonts w:ascii="TimesNewRomanPSMT" w:hAnsi="TimesNewRomanPSMT"/>
          <w:color w:val="1E1E1E"/>
        </w:rPr>
        <w:t xml:space="preserve">Not Applicable. </w:t>
      </w:r>
    </w:p>
    <w:p w14:paraId="257F2F14" w14:textId="77777777" w:rsidR="00D407FB" w:rsidRDefault="00D407FB" w:rsidP="00D407FB">
      <w:pPr>
        <w:pStyle w:val="NormalWeb"/>
        <w:shd w:val="clear" w:color="auto" w:fill="FFFFFF"/>
      </w:pPr>
      <w:r>
        <w:rPr>
          <w:rFonts w:ascii="TimesNewRomanPS" w:hAnsi="TimesNewRomanPS"/>
          <w:b/>
          <w:bCs/>
          <w:color w:val="1E1E1E"/>
        </w:rPr>
        <w:t xml:space="preserve">Patients: </w:t>
      </w:r>
      <w:r>
        <w:rPr>
          <w:rFonts w:ascii="TimesNewRomanPSMT" w:hAnsi="TimesNewRomanPSMT"/>
          <w:color w:val="1E1E1E"/>
        </w:rPr>
        <w:t xml:space="preserve">Premenopausal US women (n=52,053) of the Nurses' Health Study II, aged 34-53 years at study baseline (1999) were followed up until 2013. Diet was assessed every four years using a validated food frequency questionnaire. A previously developed and validated Pesticide Residue Burden Score (PRBS), based upon the USDA Pesticide Data Program, was used to assign fruits and vegetables to pesticide residue groups (high/low). </w:t>
      </w:r>
    </w:p>
    <w:p w14:paraId="1B3DD75A" w14:textId="77777777" w:rsidR="00D407FB" w:rsidRDefault="00D407FB" w:rsidP="00D407FB">
      <w:pPr>
        <w:pStyle w:val="NormalWeb"/>
        <w:shd w:val="clear" w:color="auto" w:fill="FFFFFF"/>
      </w:pPr>
      <w:r>
        <w:rPr>
          <w:rFonts w:ascii="TimesNewRomanPS" w:hAnsi="TimesNewRomanPS"/>
          <w:b/>
          <w:bCs/>
          <w:color w:val="1E1E1E"/>
        </w:rPr>
        <w:t xml:space="preserve">Intervention: </w:t>
      </w:r>
      <w:r>
        <w:rPr>
          <w:rFonts w:ascii="TimesNewRomanPSMT" w:hAnsi="TimesNewRomanPSMT"/>
          <w:color w:val="1E1E1E"/>
        </w:rPr>
        <w:t>Not Applicable.</w:t>
      </w:r>
      <w:r>
        <w:rPr>
          <w:rFonts w:ascii="TimesNewRomanPSMT" w:hAnsi="TimesNewRomanPSMT"/>
          <w:color w:val="1E1E1E"/>
        </w:rPr>
        <w:br/>
      </w:r>
      <w:r>
        <w:rPr>
          <w:rFonts w:ascii="TimesNewRomanPS" w:hAnsi="TimesNewRomanPS"/>
          <w:b/>
          <w:bCs/>
          <w:color w:val="1E1E1E"/>
        </w:rPr>
        <w:t xml:space="preserve">Main outcome measures: </w:t>
      </w:r>
      <w:r>
        <w:rPr>
          <w:rFonts w:ascii="TimesNewRomanPSMT" w:hAnsi="TimesNewRomanPSMT"/>
          <w:color w:val="1E1E1E"/>
        </w:rPr>
        <w:t xml:space="preserve">Cases of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were identified </w:t>
      </w:r>
    </w:p>
    <w:p w14:paraId="2E7B5D4E" w14:textId="77777777" w:rsidR="00D407FB" w:rsidRDefault="00D407FB" w:rsidP="00D407FB">
      <w:pPr>
        <w:pStyle w:val="NormalWeb"/>
        <w:shd w:val="clear" w:color="auto" w:fill="FFFFFF"/>
      </w:pPr>
      <w:r>
        <w:rPr>
          <w:rFonts w:ascii="TimesNewRomanPSMT" w:hAnsi="TimesNewRomanPSMT"/>
          <w:color w:val="1E1E1E"/>
        </w:rPr>
        <w:t xml:space="preserve">from self-reports to validated questionnaires. </w:t>
      </w:r>
    </w:p>
    <w:p w14:paraId="4DB7495C" w14:textId="77777777" w:rsidR="00D407FB" w:rsidRDefault="00D407FB" w:rsidP="00D407FB">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During 14 years of follow-up, 956 incidence cases of </w:t>
      </w:r>
      <w:proofErr w:type="gramStart"/>
      <w:r>
        <w:rPr>
          <w:rFonts w:ascii="TimesNewRomanPSMT" w:hAnsi="TimesNewRomanPSMT"/>
          <w:color w:val="1E1E1E"/>
        </w:rPr>
        <w:t>laparoscopically-confirmed</w:t>
      </w:r>
      <w:proofErr w:type="gramEnd"/>
      <w:r>
        <w:rPr>
          <w:rFonts w:ascii="TimesNewRomanPSMT" w:hAnsi="TimesNewRomanPSMT"/>
          <w:color w:val="1E1E1E"/>
        </w:rPr>
        <w:t xml:space="preserve"> endometriosis were reported. No association was observed between intake of high or low PRBS fruit and vegetable intake and endometriosis (HR for 5</w:t>
      </w:r>
      <w:proofErr w:type="spellStart"/>
      <w:r>
        <w:rPr>
          <w:rFonts w:ascii="TimesNewRomanPSMT" w:hAnsi="TimesNewRomanPSMT"/>
          <w:color w:val="1E1E1E"/>
          <w:position w:val="8"/>
          <w:sz w:val="16"/>
          <w:szCs w:val="16"/>
        </w:rPr>
        <w:t>th</w:t>
      </w:r>
      <w:proofErr w:type="spellEnd"/>
      <w:r>
        <w:rPr>
          <w:rFonts w:ascii="TimesNewRomanPSMT" w:hAnsi="TimesNewRomanPSMT"/>
          <w:color w:val="1E1E1E"/>
          <w:position w:val="8"/>
          <w:sz w:val="16"/>
          <w:szCs w:val="16"/>
        </w:rPr>
        <w:t xml:space="preserve"> </w:t>
      </w:r>
      <w:r>
        <w:rPr>
          <w:rFonts w:ascii="TimesNewRomanPSMT" w:hAnsi="TimesNewRomanPSMT"/>
          <w:color w:val="1E1E1E"/>
        </w:rPr>
        <w:t>versus 1</w:t>
      </w:r>
      <w:proofErr w:type="spellStart"/>
      <w:r>
        <w:rPr>
          <w:rFonts w:ascii="TimesNewRomanPSMT" w:hAnsi="TimesNewRomanPSMT"/>
          <w:color w:val="1E1E1E"/>
          <w:position w:val="8"/>
          <w:sz w:val="16"/>
          <w:szCs w:val="16"/>
        </w:rPr>
        <w:t>st</w:t>
      </w:r>
      <w:proofErr w:type="spellEnd"/>
      <w:r>
        <w:rPr>
          <w:rFonts w:ascii="TimesNewRomanPSMT" w:hAnsi="TimesNewRomanPSMT"/>
          <w:color w:val="1E1E1E"/>
          <w:position w:val="8"/>
          <w:sz w:val="16"/>
          <w:szCs w:val="16"/>
        </w:rPr>
        <w:t xml:space="preserve"> </w:t>
      </w:r>
      <w:r>
        <w:rPr>
          <w:rFonts w:ascii="TimesNewRomanPSMT" w:hAnsi="TimesNewRomanPSMT"/>
          <w:color w:val="1E1E1E"/>
        </w:rPr>
        <w:t>quintile: high PRBS intake=0.94, 95% CI=0.73-1.23; p</w:t>
      </w:r>
      <w:r>
        <w:rPr>
          <w:rFonts w:ascii="TimesNewRomanPSMT" w:hAnsi="TimesNewRomanPSMT"/>
          <w:color w:val="1E1E1E"/>
          <w:position w:val="-2"/>
          <w:sz w:val="16"/>
          <w:szCs w:val="16"/>
        </w:rPr>
        <w:t>trend</w:t>
      </w:r>
      <w:r>
        <w:rPr>
          <w:rFonts w:ascii="TimesNewRomanPSMT" w:hAnsi="TimesNewRomanPSMT"/>
          <w:color w:val="1E1E1E"/>
        </w:rPr>
        <w:t>=0.33; low PRBS intake=1.07, 95% CI=0.82-1.40; p</w:t>
      </w:r>
      <w:r>
        <w:rPr>
          <w:rFonts w:ascii="TimesNewRomanPSMT" w:hAnsi="TimesNewRomanPSMT"/>
          <w:color w:val="1E1E1E"/>
          <w:position w:val="-2"/>
          <w:sz w:val="16"/>
          <w:szCs w:val="16"/>
        </w:rPr>
        <w:t>trend</w:t>
      </w:r>
      <w:r>
        <w:rPr>
          <w:rFonts w:ascii="TimesNewRomanPSMT" w:hAnsi="TimesNewRomanPSMT"/>
          <w:color w:val="1E1E1E"/>
        </w:rPr>
        <w:t xml:space="preserve">=0.61). No associations were observed for high or low PRBS fruit and vegetable intake by fertility status. </w:t>
      </w:r>
    </w:p>
    <w:p w14:paraId="0B8627F7" w14:textId="77777777" w:rsidR="00D407FB" w:rsidRDefault="00D407FB" w:rsidP="00D407FB">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No clear associations were observed between high or low PRBS fruit and vegetable intake and endometriosis risk among premenopausal women. To our knowledge, this is the first study to evaluate the association between dietary pesticide residue intake and endometriosis. Further research is needed, particularly that which evaluates this association among a younger population of women (adolescence or early adulthood) and evaluates dietary exposure to specific pesticides or chemical families. </w:t>
      </w:r>
    </w:p>
    <w:p w14:paraId="34B7E488" w14:textId="77777777" w:rsidR="00D407FB" w:rsidRDefault="00D407FB" w:rsidP="00D407FB">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Fruit; Pesticide; Premenopausal; Residue; Vegetable. </w:t>
      </w:r>
    </w:p>
    <w:p w14:paraId="46B1FEE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7FB"/>
    <w:rsid w:val="001C7F88"/>
    <w:rsid w:val="00432D50"/>
    <w:rsid w:val="00875F78"/>
    <w:rsid w:val="00A74000"/>
    <w:rsid w:val="00B02158"/>
    <w:rsid w:val="00BE7B39"/>
    <w:rsid w:val="00D10F9D"/>
    <w:rsid w:val="00D30F83"/>
    <w:rsid w:val="00D407FB"/>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4251B1A"/>
  <w15:chartTrackingRefBased/>
  <w15:docId w15:val="{C73EA73A-9B0D-0B4E-BE6F-58AC5201F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07F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7939677">
      <w:bodyDiv w:val="1"/>
      <w:marLeft w:val="0"/>
      <w:marRight w:val="0"/>
      <w:marTop w:val="0"/>
      <w:marBottom w:val="0"/>
      <w:divBdr>
        <w:top w:val="none" w:sz="0" w:space="0" w:color="auto"/>
        <w:left w:val="none" w:sz="0" w:space="0" w:color="auto"/>
        <w:bottom w:val="none" w:sz="0" w:space="0" w:color="auto"/>
        <w:right w:val="none" w:sz="0" w:space="0" w:color="auto"/>
      </w:divBdr>
      <w:divsChild>
        <w:div w:id="1999721211">
          <w:marLeft w:val="0"/>
          <w:marRight w:val="0"/>
          <w:marTop w:val="0"/>
          <w:marBottom w:val="0"/>
          <w:divBdr>
            <w:top w:val="none" w:sz="0" w:space="0" w:color="auto"/>
            <w:left w:val="none" w:sz="0" w:space="0" w:color="auto"/>
            <w:bottom w:val="none" w:sz="0" w:space="0" w:color="auto"/>
            <w:right w:val="none" w:sz="0" w:space="0" w:color="auto"/>
          </w:divBdr>
          <w:divsChild>
            <w:div w:id="1825466408">
              <w:marLeft w:val="0"/>
              <w:marRight w:val="0"/>
              <w:marTop w:val="0"/>
              <w:marBottom w:val="0"/>
              <w:divBdr>
                <w:top w:val="none" w:sz="0" w:space="0" w:color="auto"/>
                <w:left w:val="none" w:sz="0" w:space="0" w:color="auto"/>
                <w:bottom w:val="none" w:sz="0" w:space="0" w:color="auto"/>
                <w:right w:val="none" w:sz="0" w:space="0" w:color="auto"/>
              </w:divBdr>
              <w:divsChild>
                <w:div w:id="1213931498">
                  <w:marLeft w:val="0"/>
                  <w:marRight w:val="0"/>
                  <w:marTop w:val="0"/>
                  <w:marBottom w:val="0"/>
                  <w:divBdr>
                    <w:top w:val="none" w:sz="0" w:space="0" w:color="auto"/>
                    <w:left w:val="none" w:sz="0" w:space="0" w:color="auto"/>
                    <w:bottom w:val="none" w:sz="0" w:space="0" w:color="auto"/>
                    <w:right w:val="none" w:sz="0" w:space="0" w:color="auto"/>
                  </w:divBdr>
                </w:div>
              </w:divsChild>
            </w:div>
            <w:div w:id="2044280442">
              <w:marLeft w:val="0"/>
              <w:marRight w:val="0"/>
              <w:marTop w:val="0"/>
              <w:marBottom w:val="0"/>
              <w:divBdr>
                <w:top w:val="none" w:sz="0" w:space="0" w:color="auto"/>
                <w:left w:val="none" w:sz="0" w:space="0" w:color="auto"/>
                <w:bottom w:val="none" w:sz="0" w:space="0" w:color="auto"/>
                <w:right w:val="none" w:sz="0" w:space="0" w:color="auto"/>
              </w:divBdr>
              <w:divsChild>
                <w:div w:id="518860803">
                  <w:marLeft w:val="0"/>
                  <w:marRight w:val="0"/>
                  <w:marTop w:val="0"/>
                  <w:marBottom w:val="0"/>
                  <w:divBdr>
                    <w:top w:val="none" w:sz="0" w:space="0" w:color="auto"/>
                    <w:left w:val="none" w:sz="0" w:space="0" w:color="auto"/>
                    <w:bottom w:val="none" w:sz="0" w:space="0" w:color="auto"/>
                    <w:right w:val="none" w:sz="0" w:space="0" w:color="auto"/>
                  </w:divBdr>
                  <w:divsChild>
                    <w:div w:id="179832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505810">
          <w:marLeft w:val="0"/>
          <w:marRight w:val="0"/>
          <w:marTop w:val="0"/>
          <w:marBottom w:val="0"/>
          <w:divBdr>
            <w:top w:val="none" w:sz="0" w:space="0" w:color="auto"/>
            <w:left w:val="none" w:sz="0" w:space="0" w:color="auto"/>
            <w:bottom w:val="none" w:sz="0" w:space="0" w:color="auto"/>
            <w:right w:val="none" w:sz="0" w:space="0" w:color="auto"/>
          </w:divBdr>
          <w:divsChild>
            <w:div w:id="384842598">
              <w:marLeft w:val="0"/>
              <w:marRight w:val="0"/>
              <w:marTop w:val="0"/>
              <w:marBottom w:val="0"/>
              <w:divBdr>
                <w:top w:val="none" w:sz="0" w:space="0" w:color="auto"/>
                <w:left w:val="none" w:sz="0" w:space="0" w:color="auto"/>
                <w:bottom w:val="none" w:sz="0" w:space="0" w:color="auto"/>
                <w:right w:val="none" w:sz="0" w:space="0" w:color="auto"/>
              </w:divBdr>
              <w:divsChild>
                <w:div w:id="1788159576">
                  <w:marLeft w:val="0"/>
                  <w:marRight w:val="0"/>
                  <w:marTop w:val="0"/>
                  <w:marBottom w:val="0"/>
                  <w:divBdr>
                    <w:top w:val="none" w:sz="0" w:space="0" w:color="auto"/>
                    <w:left w:val="none" w:sz="0" w:space="0" w:color="auto"/>
                    <w:bottom w:val="none" w:sz="0" w:space="0" w:color="auto"/>
                    <w:right w:val="none" w:sz="0" w:space="0" w:color="auto"/>
                  </w:divBdr>
                  <w:divsChild>
                    <w:div w:id="210187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2307</Characters>
  <Application>Microsoft Office Word</Application>
  <DocSecurity>0</DocSecurity>
  <Lines>19</Lines>
  <Paragraphs>5</Paragraphs>
  <ScaleCrop>false</ScaleCrop>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2022-07-30T18:29:00Z</dcterms:created>
  <dcterms:modified xsi:type="dcterms:W3CDTF">2022-07-30T18:29:00Z</dcterms:modified>
</cp:coreProperties>
</file>