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0C9069" w14:textId="77777777" w:rsidR="006A4D10" w:rsidRDefault="006A4D10" w:rsidP="006A4D10">
      <w:pPr>
        <w:pStyle w:val="NormalWeb"/>
      </w:pPr>
      <w:r>
        <w:rPr>
          <w:rFonts w:ascii="TimesNewRomanPSMT" w:hAnsi="TimesNewRomanPSMT"/>
        </w:rPr>
        <w:t xml:space="preserve">19) </w:t>
      </w:r>
      <w:r>
        <w:rPr>
          <w:rFonts w:ascii="TimesNewRomanPSMT" w:hAnsi="TimesNewRomanPSMT"/>
          <w:color w:val="0070BA"/>
        </w:rPr>
        <w:t xml:space="preserve">Endometrioid Borderline Ovarian </w:t>
      </w:r>
      <w:proofErr w:type="spellStart"/>
      <w:r>
        <w:rPr>
          <w:rFonts w:ascii="TimesNewRomanPSMT" w:hAnsi="TimesNewRomanPSMT"/>
          <w:color w:val="0070BA"/>
        </w:rPr>
        <w:t>Tumor</w:t>
      </w:r>
      <w:proofErr w:type="spellEnd"/>
      <w:r>
        <w:rPr>
          <w:rFonts w:ascii="TimesNewRomanPSMT" w:hAnsi="TimesNewRomanPSMT"/>
          <w:color w:val="0070BA"/>
        </w:rPr>
        <w:t xml:space="preserve">: Clinical Characteristics, Prognosis, and Managements. </w:t>
      </w:r>
    </w:p>
    <w:p w14:paraId="6F0CDAE4" w14:textId="77777777" w:rsidR="006A4D10" w:rsidRDefault="006A4D10" w:rsidP="006A4D10">
      <w:pPr>
        <w:pStyle w:val="NormalWeb"/>
      </w:pPr>
      <w:r>
        <w:rPr>
          <w:rFonts w:ascii="TimesNewRomanPSMT" w:hAnsi="TimesNewRomanPSMT"/>
          <w:color w:val="1E1E1E"/>
        </w:rPr>
        <w:t xml:space="preserve">Ricotta G, </w:t>
      </w:r>
      <w:proofErr w:type="spellStart"/>
      <w:r>
        <w:rPr>
          <w:rFonts w:ascii="TimesNewRomanPSMT" w:hAnsi="TimesNewRomanPSMT"/>
          <w:color w:val="1E1E1E"/>
        </w:rPr>
        <w:t>Maulard</w:t>
      </w:r>
      <w:proofErr w:type="spellEnd"/>
      <w:r>
        <w:rPr>
          <w:rFonts w:ascii="TimesNewRomanPSMT" w:hAnsi="TimesNewRomanPSMT"/>
          <w:color w:val="1E1E1E"/>
        </w:rPr>
        <w:t xml:space="preserve"> A, </w:t>
      </w:r>
      <w:proofErr w:type="spellStart"/>
      <w:r>
        <w:rPr>
          <w:rFonts w:ascii="TimesNewRomanPSMT" w:hAnsi="TimesNewRomanPSMT"/>
          <w:color w:val="1E1E1E"/>
        </w:rPr>
        <w:t>Candiani</w:t>
      </w:r>
      <w:proofErr w:type="spellEnd"/>
      <w:r>
        <w:rPr>
          <w:rFonts w:ascii="TimesNewRomanPSMT" w:hAnsi="TimesNewRomanPSMT"/>
          <w:color w:val="1E1E1E"/>
        </w:rPr>
        <w:t xml:space="preserve"> M, </w:t>
      </w:r>
      <w:proofErr w:type="spellStart"/>
      <w:r>
        <w:rPr>
          <w:rFonts w:ascii="TimesNewRomanPSMT" w:hAnsi="TimesNewRomanPSMT"/>
          <w:color w:val="1E1E1E"/>
        </w:rPr>
        <w:t>Scherrier</w:t>
      </w:r>
      <w:proofErr w:type="spellEnd"/>
      <w:r>
        <w:rPr>
          <w:rFonts w:ascii="TimesNewRomanPSMT" w:hAnsi="TimesNewRomanPSMT"/>
          <w:color w:val="1E1E1E"/>
        </w:rPr>
        <w:t xml:space="preserve"> S, </w:t>
      </w:r>
      <w:proofErr w:type="spellStart"/>
      <w:r>
        <w:rPr>
          <w:rFonts w:ascii="TimesNewRomanPSMT" w:hAnsi="TimesNewRomanPSMT"/>
          <w:color w:val="1E1E1E"/>
        </w:rPr>
        <w:t>Genestie</w:t>
      </w:r>
      <w:proofErr w:type="spellEnd"/>
      <w:r>
        <w:rPr>
          <w:rFonts w:ascii="TimesNewRomanPSMT" w:hAnsi="TimesNewRomanPSMT"/>
          <w:color w:val="1E1E1E"/>
        </w:rPr>
        <w:t xml:space="preserve"> C, </w:t>
      </w:r>
      <w:proofErr w:type="spellStart"/>
      <w:r>
        <w:rPr>
          <w:rFonts w:ascii="TimesNewRomanPSMT" w:hAnsi="TimesNewRomanPSMT"/>
          <w:color w:val="1E1E1E"/>
        </w:rPr>
        <w:t>Pautier</w:t>
      </w:r>
      <w:proofErr w:type="spellEnd"/>
      <w:r>
        <w:rPr>
          <w:rFonts w:ascii="TimesNewRomanPSMT" w:hAnsi="TimesNewRomanPSMT"/>
          <w:color w:val="1E1E1E"/>
        </w:rPr>
        <w:t xml:space="preserve"> P, Leary A, </w:t>
      </w:r>
      <w:proofErr w:type="spellStart"/>
      <w:r>
        <w:rPr>
          <w:rFonts w:ascii="TimesNewRomanPSMT" w:hAnsi="TimesNewRomanPSMT"/>
          <w:color w:val="1E1E1E"/>
        </w:rPr>
        <w:t>Chargari</w:t>
      </w:r>
      <w:proofErr w:type="spellEnd"/>
      <w:r>
        <w:rPr>
          <w:rFonts w:ascii="TimesNewRomanPSMT" w:hAnsi="TimesNewRomanPSMT"/>
          <w:color w:val="1E1E1E"/>
        </w:rPr>
        <w:t xml:space="preserve"> C, </w:t>
      </w:r>
      <w:proofErr w:type="spellStart"/>
      <w:r>
        <w:rPr>
          <w:rFonts w:ascii="TimesNewRomanPSMT" w:hAnsi="TimesNewRomanPSMT"/>
          <w:color w:val="1E1E1E"/>
        </w:rPr>
        <w:t>Mangili</w:t>
      </w:r>
      <w:proofErr w:type="spellEnd"/>
      <w:r>
        <w:rPr>
          <w:rFonts w:ascii="TimesNewRomanPSMT" w:hAnsi="TimesNewRomanPSMT"/>
          <w:color w:val="1E1E1E"/>
        </w:rPr>
        <w:t xml:space="preserve"> G, </w:t>
      </w:r>
      <w:proofErr w:type="spellStart"/>
      <w:r>
        <w:rPr>
          <w:rFonts w:ascii="TimesNewRomanPSMT" w:hAnsi="TimesNewRomanPSMT"/>
          <w:color w:val="1E1E1E"/>
        </w:rPr>
        <w:t>Morice</w:t>
      </w:r>
      <w:proofErr w:type="spellEnd"/>
      <w:r>
        <w:rPr>
          <w:rFonts w:ascii="TimesNewRomanPSMT" w:hAnsi="TimesNewRomanPSMT"/>
          <w:color w:val="1E1E1E"/>
        </w:rPr>
        <w:t xml:space="preserve"> P, </w:t>
      </w:r>
      <w:proofErr w:type="spellStart"/>
      <w:r>
        <w:rPr>
          <w:rFonts w:ascii="TimesNewRomanPSMT" w:hAnsi="TimesNewRomanPSMT"/>
          <w:color w:val="1E1E1E"/>
        </w:rPr>
        <w:t>Gouy</w:t>
      </w:r>
      <w:proofErr w:type="spellEnd"/>
      <w:r>
        <w:rPr>
          <w:rFonts w:ascii="TimesNewRomanPSMT" w:hAnsi="TimesNewRomanPSMT"/>
          <w:color w:val="1E1E1E"/>
        </w:rPr>
        <w:t xml:space="preserve"> </w:t>
      </w:r>
      <w:proofErr w:type="spellStart"/>
      <w:proofErr w:type="gramStart"/>
      <w:r>
        <w:rPr>
          <w:rFonts w:ascii="TimesNewRomanPSMT" w:hAnsi="TimesNewRomanPSMT"/>
          <w:color w:val="1E1E1E"/>
        </w:rPr>
        <w:t>S.</w:t>
      </w:r>
      <w:r>
        <w:rPr>
          <w:rFonts w:ascii="TimesNewRomanPSMT" w:hAnsi="TimesNewRomanPSMT"/>
          <w:color w:val="4C7F54"/>
        </w:rPr>
        <w:t>Ann</w:t>
      </w:r>
      <w:proofErr w:type="spellEnd"/>
      <w:proofErr w:type="gramEnd"/>
      <w:r>
        <w:rPr>
          <w:rFonts w:ascii="TimesNewRomanPSMT" w:hAnsi="TimesNewRomanPSMT"/>
          <w:color w:val="4C7F54"/>
        </w:rPr>
        <w:t xml:space="preserve"> </w:t>
      </w:r>
      <w:proofErr w:type="spellStart"/>
      <w:r>
        <w:rPr>
          <w:rFonts w:ascii="TimesNewRomanPSMT" w:hAnsi="TimesNewRomanPSMT"/>
          <w:color w:val="4C7F54"/>
        </w:rPr>
        <w:t>Surg</w:t>
      </w:r>
      <w:proofErr w:type="spellEnd"/>
      <w:r>
        <w:rPr>
          <w:rFonts w:ascii="TimesNewRomanPSMT" w:hAnsi="TimesNewRomanPSMT"/>
          <w:color w:val="4C7F54"/>
        </w:rPr>
        <w:t xml:space="preserve"> Oncol. 2022 May 19. </w:t>
      </w:r>
      <w:proofErr w:type="spellStart"/>
      <w:r>
        <w:rPr>
          <w:rFonts w:ascii="TimesNewRomanPSMT" w:hAnsi="TimesNewRomanPSMT"/>
          <w:color w:val="4C7F54"/>
        </w:rPr>
        <w:t>doi</w:t>
      </w:r>
      <w:proofErr w:type="spellEnd"/>
      <w:r>
        <w:rPr>
          <w:rFonts w:ascii="TimesNewRomanPSMT" w:hAnsi="TimesNewRomanPSMT"/>
          <w:color w:val="4C7F54"/>
        </w:rPr>
        <w:t xml:space="preserve">: 10.1245/s10434-022-11893-7. Online ahead of </w:t>
      </w:r>
      <w:proofErr w:type="spellStart"/>
      <w:proofErr w:type="gramStart"/>
      <w:r>
        <w:rPr>
          <w:rFonts w:ascii="TimesNewRomanPSMT" w:hAnsi="TimesNewRomanPSMT"/>
          <w:color w:val="4C7F54"/>
        </w:rPr>
        <w:t>print.PMID</w:t>
      </w:r>
      <w:proofErr w:type="spellEnd"/>
      <w:proofErr w:type="gramEnd"/>
      <w:r>
        <w:rPr>
          <w:rFonts w:ascii="TimesNewRomanPSMT" w:hAnsi="TimesNewRomanPSMT"/>
          <w:color w:val="4C7F54"/>
        </w:rPr>
        <w:t xml:space="preserve">: 35590116 </w:t>
      </w:r>
    </w:p>
    <w:p w14:paraId="5B36595C" w14:textId="77777777" w:rsidR="006A4D10" w:rsidRDefault="006A4D10" w:rsidP="006A4D10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>Abstract</w:t>
      </w:r>
      <w:r>
        <w:rPr>
          <w:rFonts w:ascii="TimesNewRomanPS" w:hAnsi="TimesNewRomanPS"/>
          <w:b/>
          <w:bCs/>
          <w:color w:val="1E1E1E"/>
        </w:rPr>
        <w:br/>
        <w:t xml:space="preserve">Background: </w:t>
      </w:r>
      <w:r>
        <w:rPr>
          <w:rFonts w:ascii="TimesNewRomanPSMT" w:hAnsi="TimesNewRomanPSMT"/>
          <w:color w:val="1E1E1E"/>
        </w:rPr>
        <w:t xml:space="preserve">Endometrioid borderline ovarian </w:t>
      </w:r>
      <w:proofErr w:type="spellStart"/>
      <w:r>
        <w:rPr>
          <w:rFonts w:ascii="TimesNewRomanPSMT" w:hAnsi="TimesNewRomanPSMT"/>
          <w:color w:val="1E1E1E"/>
        </w:rPr>
        <w:t>tumor</w:t>
      </w:r>
      <w:proofErr w:type="spellEnd"/>
      <w:r>
        <w:rPr>
          <w:rFonts w:ascii="TimesNewRomanPSMT" w:hAnsi="TimesNewRomanPSMT"/>
          <w:color w:val="1E1E1E"/>
        </w:rPr>
        <w:t xml:space="preserve"> (EBOT) is a rare subtype of borderline </w:t>
      </w:r>
    </w:p>
    <w:p w14:paraId="4F0EF410" w14:textId="77777777" w:rsidR="006A4D10" w:rsidRDefault="006A4D10" w:rsidP="006A4D10">
      <w:pPr>
        <w:pStyle w:val="NormalWeb"/>
        <w:shd w:val="clear" w:color="auto" w:fill="FFFFFF"/>
      </w:pPr>
      <w:r>
        <w:rPr>
          <w:rFonts w:ascii="TimesNewRomanPSMT" w:hAnsi="TimesNewRomanPSMT"/>
          <w:color w:val="1E1E1E"/>
        </w:rPr>
        <w:t xml:space="preserve">ovarian malignancies. This study was designed to determine the prognosis of a series of EBOT. </w:t>
      </w:r>
    </w:p>
    <w:p w14:paraId="0BB5FB42" w14:textId="77777777" w:rsidR="006A4D10" w:rsidRDefault="006A4D10" w:rsidP="006A4D10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Methods: </w:t>
      </w:r>
      <w:r>
        <w:rPr>
          <w:rFonts w:ascii="TimesNewRomanPSMT" w:hAnsi="TimesNewRomanPSMT"/>
          <w:color w:val="1E1E1E"/>
        </w:rPr>
        <w:t xml:space="preserve">This is a retrospective review of patients with EBOT treated in or referred to our institutions and a centralized, histological review by a reference pathologist. Data on the clinical characteristics, management (surgical and medical), and oncologic outcomes of patients were required for inclusion. </w:t>
      </w:r>
    </w:p>
    <w:p w14:paraId="5F74C69A" w14:textId="77777777" w:rsidR="006A4D10" w:rsidRDefault="006A4D10" w:rsidP="006A4D10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Results: </w:t>
      </w:r>
      <w:r>
        <w:rPr>
          <w:rFonts w:ascii="TimesNewRomanPSMT" w:hAnsi="TimesNewRomanPSMT"/>
          <w:color w:val="1E1E1E"/>
        </w:rPr>
        <w:t xml:space="preserve">Forty-eight patients were identified. Median age was 52 years (range 14-89). Fourteen patients underwent a conservative surgery and 32 a bilateral </w:t>
      </w:r>
      <w:proofErr w:type="spellStart"/>
      <w:r>
        <w:rPr>
          <w:rFonts w:ascii="TimesNewRomanPSMT" w:hAnsi="TimesNewRomanPSMT"/>
          <w:color w:val="1E1E1E"/>
        </w:rPr>
        <w:t>salpingo</w:t>
      </w:r>
      <w:proofErr w:type="spellEnd"/>
      <w:r>
        <w:rPr>
          <w:rFonts w:ascii="TimesNewRomanPSMT" w:hAnsi="TimesNewRomanPSMT"/>
          <w:color w:val="1E1E1E"/>
        </w:rPr>
        <w:t xml:space="preserve">-oophorectomy (unknown in 2 cases). Two patients had bilateral </w:t>
      </w:r>
      <w:proofErr w:type="spellStart"/>
      <w:r>
        <w:rPr>
          <w:rFonts w:ascii="TimesNewRomanPSMT" w:hAnsi="TimesNewRomanPSMT"/>
          <w:color w:val="1E1E1E"/>
        </w:rPr>
        <w:t>tumors</w:t>
      </w:r>
      <w:proofErr w:type="spellEnd"/>
      <w:r>
        <w:rPr>
          <w:rFonts w:ascii="TimesNewRomanPSMT" w:hAnsi="TimesNewRomanPSMT"/>
          <w:color w:val="1E1E1E"/>
        </w:rPr>
        <w:t xml:space="preserve">. Forty-three patients had stage I disease, and five patients had stage II disease (10%). Stromal microinvasion and intraepithelial carcinoma was observed in 6 (12%) and 13 (27%) patients respectively. Endometriosis was histologically associated in 12 patients (25%). Synchronous endometrial disease was found in 7 (24%) of 29 patients with endometrial histological evaluation. The median follow-up was 72 months (range 6-146). Two patients developed a recurrence after cystectomy in form of borderline disease (5%). No death related to EBOT occurred. </w:t>
      </w:r>
    </w:p>
    <w:p w14:paraId="1DF3E18E" w14:textId="77777777" w:rsidR="006A4D10" w:rsidRDefault="006A4D10" w:rsidP="006A4D10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Conclusions: </w:t>
      </w:r>
      <w:r>
        <w:rPr>
          <w:rFonts w:ascii="TimesNewRomanPSMT" w:hAnsi="TimesNewRomanPSMT"/>
          <w:color w:val="1E1E1E"/>
        </w:rPr>
        <w:t xml:space="preserve">Peritoneal restaging surgery should be performed if not realized initially, because 5% of EBOTS are diagnosed at stage II-III. Fertility-sparing surgery seems a safe option in selected patients. Because synchronous endometrial diseases, including endometrial carcinoma are frequent, systematic hysterectomy (or endometrial sampling in case of fertility-sparing surgery) is mandatory. Prognosis is generally excellent. Recurrence is a rare event (6%), but it can occur in the form of invasive disease. </w:t>
      </w:r>
    </w:p>
    <w:p w14:paraId="2F1F662C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TimesNewRomanPS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D10"/>
    <w:rsid w:val="001C7F88"/>
    <w:rsid w:val="00432D50"/>
    <w:rsid w:val="006A4D10"/>
    <w:rsid w:val="00875F78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3A075F"/>
  <w15:chartTrackingRefBased/>
  <w15:docId w15:val="{BEF084E7-9808-D24B-9430-8C776B82B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A4D1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710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5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144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803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260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50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606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683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32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84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634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316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2022-07-30T18:29:00Z</dcterms:created>
  <dcterms:modified xsi:type="dcterms:W3CDTF">2022-07-30T18:30:00Z</dcterms:modified>
</cp:coreProperties>
</file>