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CB756" w14:textId="77777777" w:rsidR="004465D8" w:rsidRDefault="004465D8" w:rsidP="004465D8">
      <w:pPr>
        <w:pStyle w:val="NormalWeb"/>
      </w:pPr>
      <w:r>
        <w:rPr>
          <w:rFonts w:ascii="TimesNewRomanPSMT" w:hAnsi="TimesNewRomanPSMT"/>
        </w:rPr>
        <w:t xml:space="preserve">20) </w:t>
      </w:r>
      <w:r>
        <w:rPr>
          <w:rFonts w:ascii="TimesNewRomanPSMT" w:hAnsi="TimesNewRomanPSMT"/>
          <w:color w:val="0070BA"/>
        </w:rPr>
        <w:t xml:space="preserve">miR-203a-3p, ABL1 and TP63 gene expression is altered in the endometrium of women with </w:t>
      </w:r>
      <w:r>
        <w:rPr>
          <w:rFonts w:ascii="TimesNewRomanPS" w:hAnsi="TimesNewRomanPS"/>
          <w:b/>
          <w:bCs/>
          <w:color w:val="0070BA"/>
        </w:rPr>
        <w:t>endometriosis</w:t>
      </w:r>
      <w:r>
        <w:rPr>
          <w:rFonts w:ascii="TimesNewRomanPSMT" w:hAnsi="TimesNewRomanPSMT"/>
          <w:color w:val="0070BA"/>
        </w:rPr>
        <w:t xml:space="preserve">. </w:t>
      </w:r>
    </w:p>
    <w:p w14:paraId="3E42225A" w14:textId="77777777" w:rsidR="004465D8" w:rsidRDefault="004465D8" w:rsidP="004465D8">
      <w:pPr>
        <w:pStyle w:val="NormalWeb"/>
      </w:pPr>
      <w:proofErr w:type="spellStart"/>
      <w:r>
        <w:rPr>
          <w:rFonts w:ascii="TimesNewRomanPSMT" w:hAnsi="TimesNewRomanPSMT"/>
          <w:color w:val="1E1E1E"/>
        </w:rPr>
        <w:t>Pashaei</w:t>
      </w:r>
      <w:proofErr w:type="spellEnd"/>
      <w:r>
        <w:rPr>
          <w:rFonts w:ascii="TimesNewRomanPSMT" w:hAnsi="TimesNewRomanPSMT"/>
          <w:color w:val="1E1E1E"/>
        </w:rPr>
        <w:t xml:space="preserve"> M, </w:t>
      </w:r>
      <w:proofErr w:type="spellStart"/>
      <w:r>
        <w:rPr>
          <w:rFonts w:ascii="TimesNewRomanPSMT" w:hAnsi="TimesNewRomanPSMT"/>
          <w:color w:val="1E1E1E"/>
        </w:rPr>
        <w:t>Mashayekhi</w:t>
      </w:r>
      <w:proofErr w:type="spellEnd"/>
      <w:r>
        <w:rPr>
          <w:rFonts w:ascii="TimesNewRomanPSMT" w:hAnsi="TimesNewRomanPSMT"/>
          <w:color w:val="1E1E1E"/>
        </w:rPr>
        <w:t xml:space="preserve"> F, Zahiri Z, Salehi </w:t>
      </w:r>
      <w:proofErr w:type="spellStart"/>
      <w:proofErr w:type="gramStart"/>
      <w:r>
        <w:rPr>
          <w:rFonts w:ascii="TimesNewRomanPSMT" w:hAnsi="TimesNewRomanPSMT"/>
          <w:color w:val="1E1E1E"/>
        </w:rPr>
        <w:t>Z.</w:t>
      </w:r>
      <w:r>
        <w:rPr>
          <w:rFonts w:ascii="TimesNewRomanPSMT" w:hAnsi="TimesNewRomanPSMT"/>
          <w:color w:val="4C7F54"/>
        </w:rPr>
        <w:t>Gynecol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Endocrinol. 2022 May 19:1-5.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10.1080/09513590.2022.2076830. Online ahead of </w:t>
      </w:r>
      <w:proofErr w:type="spellStart"/>
      <w:proofErr w:type="gramStart"/>
      <w:r>
        <w:rPr>
          <w:rFonts w:ascii="TimesNewRomanPSMT" w:hAnsi="TimesNewRomanPSMT"/>
          <w:color w:val="4C7F54"/>
        </w:rPr>
        <w:t>print.PMID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: 35587747 </w:t>
      </w:r>
    </w:p>
    <w:p w14:paraId="0A2CB4CF" w14:textId="77777777" w:rsidR="004465D8" w:rsidRDefault="004465D8" w:rsidP="004465D8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70212211" w14:textId="77777777" w:rsidR="004465D8" w:rsidRDefault="004465D8" w:rsidP="004465D8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Objective: </w:t>
      </w:r>
      <w:r>
        <w:rPr>
          <w:rFonts w:ascii="TimesNewRomanPSMT" w:hAnsi="TimesNewRomanPSMT"/>
          <w:color w:val="1E1E1E"/>
        </w:rPr>
        <w:t xml:space="preserve">Many genes and miRNAs have been shown to be associated with the pathogenesis of endometriosis. </w:t>
      </w:r>
      <w:r>
        <w:rPr>
          <w:rFonts w:ascii="TimesNewRomanPS" w:hAnsi="TimesNewRomanPS"/>
          <w:i/>
          <w:iCs/>
          <w:color w:val="1E1E1E"/>
        </w:rPr>
        <w:t xml:space="preserve">TP63 </w:t>
      </w:r>
      <w:r>
        <w:rPr>
          <w:rFonts w:ascii="TimesNewRomanPSMT" w:hAnsi="TimesNewRomanPSMT"/>
          <w:color w:val="1E1E1E"/>
        </w:rPr>
        <w:t xml:space="preserve">(p63) is implicated in lineage specification, proliferative potential, differentiation, cell death and survival. The </w:t>
      </w:r>
      <w:r>
        <w:rPr>
          <w:rFonts w:ascii="TimesNewRomanPS" w:hAnsi="TimesNewRomanPS"/>
          <w:i/>
          <w:iCs/>
          <w:color w:val="1E1E1E"/>
        </w:rPr>
        <w:t xml:space="preserve">ABL1 </w:t>
      </w:r>
      <w:r>
        <w:rPr>
          <w:rFonts w:ascii="TimesNewRomanPSMT" w:hAnsi="TimesNewRomanPSMT"/>
          <w:color w:val="1E1E1E"/>
        </w:rPr>
        <w:t xml:space="preserve">proto-oncogene encodes a cytoplasmic and nuclear protein tyrosine kinase implicated in cell differentiation, cell division, and cell adhesion. Moreover, hsa-miR-203a-3p was reported to play pivotal roles in </w:t>
      </w:r>
      <w:proofErr w:type="spellStart"/>
      <w:r>
        <w:rPr>
          <w:rFonts w:ascii="TimesNewRomanPSMT" w:hAnsi="TimesNewRomanPSMT"/>
          <w:color w:val="1E1E1E"/>
        </w:rPr>
        <w:t>tumor</w:t>
      </w:r>
      <w:proofErr w:type="spellEnd"/>
      <w:r>
        <w:rPr>
          <w:rFonts w:ascii="TimesNewRomanPSMT" w:hAnsi="TimesNewRomanPSMT"/>
          <w:color w:val="1E1E1E"/>
        </w:rPr>
        <w:t xml:space="preserve"> progression by targeting multiple genes, including </w:t>
      </w:r>
      <w:r>
        <w:rPr>
          <w:rFonts w:ascii="TimesNewRomanPS" w:hAnsi="TimesNewRomanPS"/>
          <w:i/>
          <w:iCs/>
          <w:color w:val="1E1E1E"/>
        </w:rPr>
        <w:t xml:space="preserve">ABL1 </w:t>
      </w:r>
      <w:r>
        <w:rPr>
          <w:rFonts w:ascii="TimesNewRomanPSMT" w:hAnsi="TimesNewRomanPSMT"/>
          <w:color w:val="1E1E1E"/>
        </w:rPr>
        <w:t xml:space="preserve">and </w:t>
      </w:r>
      <w:r>
        <w:rPr>
          <w:rFonts w:ascii="TimesNewRomanPS" w:hAnsi="TimesNewRomanPS"/>
          <w:i/>
          <w:iCs/>
          <w:color w:val="1E1E1E"/>
        </w:rPr>
        <w:t>TP63</w:t>
      </w:r>
      <w:r>
        <w:rPr>
          <w:rFonts w:ascii="TimesNewRomanPSMT" w:hAnsi="TimesNewRomanPSMT"/>
          <w:color w:val="1E1E1E"/>
        </w:rPr>
        <w:t xml:space="preserve">. The aim of this study was to investigate the expression of </w:t>
      </w:r>
      <w:r>
        <w:rPr>
          <w:rFonts w:ascii="TimesNewRomanPS" w:hAnsi="TimesNewRomanPS"/>
          <w:i/>
          <w:iCs/>
          <w:color w:val="1E1E1E"/>
        </w:rPr>
        <w:t>ABL1</w:t>
      </w:r>
      <w:r>
        <w:rPr>
          <w:rFonts w:ascii="TimesNewRomanPSMT" w:hAnsi="TimesNewRomanPSMT"/>
          <w:color w:val="1E1E1E"/>
        </w:rPr>
        <w:t xml:space="preserve">, </w:t>
      </w:r>
      <w:r>
        <w:rPr>
          <w:rFonts w:ascii="TimesNewRomanPS" w:hAnsi="TimesNewRomanPS"/>
          <w:i/>
          <w:iCs/>
          <w:color w:val="1E1E1E"/>
        </w:rPr>
        <w:t>TP63</w:t>
      </w:r>
      <w:r>
        <w:rPr>
          <w:rFonts w:ascii="TimesNewRomanPSMT" w:hAnsi="TimesNewRomanPSMT"/>
          <w:color w:val="1E1E1E"/>
        </w:rPr>
        <w:t xml:space="preserve">, and miR-203a-3p in endometriosis. </w:t>
      </w:r>
    </w:p>
    <w:p w14:paraId="4224E135" w14:textId="77777777" w:rsidR="004465D8" w:rsidRDefault="004465D8" w:rsidP="004465D8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Methods: </w:t>
      </w:r>
      <w:r>
        <w:rPr>
          <w:rFonts w:ascii="TimesNewRomanPSMT" w:hAnsi="TimesNewRomanPSMT"/>
          <w:color w:val="1E1E1E"/>
        </w:rPr>
        <w:t xml:space="preserve">This study included 30 women with endometriosis (stage III: </w:t>
      </w:r>
      <w:r>
        <w:rPr>
          <w:rFonts w:ascii="TimesNewRomanPS" w:hAnsi="TimesNewRomanPS"/>
          <w:i/>
          <w:iCs/>
          <w:color w:val="1E1E1E"/>
        </w:rPr>
        <w:t xml:space="preserve">n </w:t>
      </w:r>
      <w:r>
        <w:rPr>
          <w:rFonts w:ascii="TimesNewRomanPSMT" w:hAnsi="TimesNewRomanPSMT"/>
          <w:color w:val="1E1E1E"/>
        </w:rPr>
        <w:t xml:space="preserve">= 12 and stage IV: </w:t>
      </w:r>
      <w:r>
        <w:rPr>
          <w:rFonts w:ascii="TimesNewRomanPS" w:hAnsi="TimesNewRomanPS"/>
          <w:i/>
          <w:iCs/>
          <w:color w:val="1E1E1E"/>
        </w:rPr>
        <w:t xml:space="preserve">n </w:t>
      </w:r>
      <w:r>
        <w:rPr>
          <w:rFonts w:ascii="TimesNewRomanPSMT" w:hAnsi="TimesNewRomanPSMT"/>
          <w:color w:val="1E1E1E"/>
        </w:rPr>
        <w:t xml:space="preserve">= 18) and 30 age-matched controls. Total RNA extraction and cDNA synthesis were performed, and a quantitative polymerase chain reaction technique was used to determine the expression of miR-203a-3p, </w:t>
      </w:r>
      <w:r>
        <w:rPr>
          <w:rFonts w:ascii="TimesNewRomanPS" w:hAnsi="TimesNewRomanPS"/>
          <w:i/>
          <w:iCs/>
          <w:color w:val="1E1E1E"/>
        </w:rPr>
        <w:t>TP63</w:t>
      </w:r>
      <w:r>
        <w:rPr>
          <w:rFonts w:ascii="TimesNewRomanPSMT" w:hAnsi="TimesNewRomanPSMT"/>
          <w:color w:val="1E1E1E"/>
        </w:rPr>
        <w:t xml:space="preserve">, and </w:t>
      </w:r>
      <w:r>
        <w:rPr>
          <w:rFonts w:ascii="TimesNewRomanPS" w:hAnsi="TimesNewRomanPS"/>
          <w:i/>
          <w:iCs/>
          <w:color w:val="1E1E1E"/>
        </w:rPr>
        <w:t>ABL1</w:t>
      </w:r>
      <w:r>
        <w:rPr>
          <w:rFonts w:ascii="TimesNewRomanPSMT" w:hAnsi="TimesNewRomanPSMT"/>
          <w:color w:val="1E1E1E"/>
        </w:rPr>
        <w:t xml:space="preserve">. </w:t>
      </w:r>
    </w:p>
    <w:p w14:paraId="1BE091FC" w14:textId="77777777" w:rsidR="004465D8" w:rsidRDefault="004465D8" w:rsidP="004465D8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" w:hAnsi="TimesNewRomanPS"/>
          <w:i/>
          <w:iCs/>
          <w:color w:val="1E1E1E"/>
        </w:rPr>
        <w:t xml:space="preserve">TP63 </w:t>
      </w:r>
      <w:r>
        <w:rPr>
          <w:rFonts w:ascii="TimesNewRomanPSMT" w:hAnsi="TimesNewRomanPSMT"/>
          <w:color w:val="1E1E1E"/>
        </w:rPr>
        <w:t xml:space="preserve">and </w:t>
      </w:r>
      <w:r>
        <w:rPr>
          <w:rFonts w:ascii="TimesNewRomanPS" w:hAnsi="TimesNewRomanPS"/>
          <w:i/>
          <w:iCs/>
          <w:color w:val="1E1E1E"/>
        </w:rPr>
        <w:t xml:space="preserve">ABL1 </w:t>
      </w:r>
      <w:r>
        <w:rPr>
          <w:rFonts w:ascii="TimesNewRomanPSMT" w:hAnsi="TimesNewRomanPSMT"/>
          <w:color w:val="1E1E1E"/>
        </w:rPr>
        <w:t>were significantly overexpressed in stages III and IV endometriosis as compared to controls (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 xml:space="preserve">&lt; .0001). Moreover, overexpression of </w:t>
      </w:r>
      <w:r>
        <w:rPr>
          <w:rFonts w:ascii="TimesNewRomanPS" w:hAnsi="TimesNewRomanPS"/>
          <w:i/>
          <w:iCs/>
          <w:color w:val="1E1E1E"/>
        </w:rPr>
        <w:t xml:space="preserve">ABL1 </w:t>
      </w:r>
      <w:r>
        <w:rPr>
          <w:rFonts w:ascii="TimesNewRomanPSMT" w:hAnsi="TimesNewRomanPSMT"/>
          <w:color w:val="1E1E1E"/>
        </w:rPr>
        <w:t xml:space="preserve">and </w:t>
      </w:r>
      <w:r>
        <w:rPr>
          <w:rFonts w:ascii="TimesNewRomanPS" w:hAnsi="TimesNewRomanPS"/>
          <w:i/>
          <w:iCs/>
          <w:color w:val="1E1E1E"/>
        </w:rPr>
        <w:t xml:space="preserve">TP63 </w:t>
      </w:r>
      <w:r>
        <w:rPr>
          <w:rFonts w:ascii="TimesNewRomanPSMT" w:hAnsi="TimesNewRomanPSMT"/>
          <w:color w:val="1E1E1E"/>
        </w:rPr>
        <w:t>was observed in stage IV compared to stage III (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 xml:space="preserve">= .0006 and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>= .0002, respectively). Furthermore, significant increase miR-203a-3p expression has been seen in stage IV endometriosis compared to controls (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>= .006). The expression of miR-203a-3p in stage III was not significant compared to stage IV and control (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 xml:space="preserve">= .33 and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 xml:space="preserve">= .43, respectively). </w:t>
      </w:r>
    </w:p>
    <w:p w14:paraId="114D4153" w14:textId="77777777" w:rsidR="004465D8" w:rsidRDefault="004465D8" w:rsidP="004465D8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It is concluded that miR-203a-3p, </w:t>
      </w:r>
      <w:r>
        <w:rPr>
          <w:rFonts w:ascii="TimesNewRomanPS" w:hAnsi="TimesNewRomanPS"/>
          <w:i/>
          <w:iCs/>
          <w:color w:val="1E1E1E"/>
        </w:rPr>
        <w:t xml:space="preserve">ABL1 </w:t>
      </w:r>
      <w:r>
        <w:rPr>
          <w:rFonts w:ascii="TimesNewRomanPSMT" w:hAnsi="TimesNewRomanPSMT"/>
          <w:color w:val="1E1E1E"/>
        </w:rPr>
        <w:t xml:space="preserve">and </w:t>
      </w:r>
      <w:r>
        <w:rPr>
          <w:rFonts w:ascii="TimesNewRomanPS" w:hAnsi="TimesNewRomanPS"/>
          <w:i/>
          <w:iCs/>
          <w:color w:val="1E1E1E"/>
        </w:rPr>
        <w:t xml:space="preserve">TP63 </w:t>
      </w:r>
      <w:r>
        <w:rPr>
          <w:rFonts w:ascii="TimesNewRomanPSMT" w:hAnsi="TimesNewRomanPSMT"/>
          <w:color w:val="1E1E1E"/>
        </w:rPr>
        <w:t xml:space="preserve">gene expression is altered in the endometrium of patients with endometriosis. It is also suggested that miR-203a-3p, </w:t>
      </w:r>
      <w:r>
        <w:rPr>
          <w:rFonts w:ascii="TimesNewRomanPS" w:hAnsi="TimesNewRomanPS"/>
          <w:i/>
          <w:iCs/>
          <w:color w:val="1E1E1E"/>
        </w:rPr>
        <w:t>ABL1</w:t>
      </w:r>
      <w:r>
        <w:rPr>
          <w:rFonts w:ascii="TimesNewRomanPSMT" w:hAnsi="TimesNewRomanPSMT"/>
          <w:color w:val="1E1E1E"/>
        </w:rPr>
        <w:t>,</w:t>
      </w:r>
      <w:r>
        <w:rPr>
          <w:rFonts w:ascii="TimesNewRomanPSMT" w:hAnsi="TimesNewRomanPSMT"/>
          <w:color w:val="1E1E1E"/>
        </w:rPr>
        <w:br/>
        <w:t xml:space="preserve">and </w:t>
      </w:r>
      <w:r>
        <w:rPr>
          <w:rFonts w:ascii="TimesNewRomanPS" w:hAnsi="TimesNewRomanPS"/>
          <w:i/>
          <w:iCs/>
          <w:color w:val="1E1E1E"/>
        </w:rPr>
        <w:t xml:space="preserve">TP63 </w:t>
      </w:r>
      <w:r>
        <w:rPr>
          <w:rFonts w:ascii="TimesNewRomanPSMT" w:hAnsi="TimesNewRomanPSMT"/>
          <w:color w:val="1E1E1E"/>
        </w:rPr>
        <w:t xml:space="preserve">might be candidate factors for the pathogenesis of endometriosis and suggesting its therapeutic potential in endometriosis. </w:t>
      </w:r>
    </w:p>
    <w:p w14:paraId="5BCFB949" w14:textId="77777777" w:rsidR="004465D8" w:rsidRDefault="004465D8" w:rsidP="004465D8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ABL1; Endometriosis; TP63; expression; miR-203a-3p. </w:t>
      </w:r>
    </w:p>
    <w:p w14:paraId="5FE909C1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5D8"/>
    <w:rsid w:val="001C7F88"/>
    <w:rsid w:val="00432D50"/>
    <w:rsid w:val="004465D8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6F7658"/>
  <w15:chartTrackingRefBased/>
  <w15:docId w15:val="{8102BEA2-5E91-4E46-8BC4-BA22DB96E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65D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0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4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92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31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76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2022-07-30T18:30:00Z</dcterms:created>
  <dcterms:modified xsi:type="dcterms:W3CDTF">2022-07-30T18:31:00Z</dcterms:modified>
</cp:coreProperties>
</file>