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88C0C" w14:textId="77777777" w:rsidR="00004F2F" w:rsidRDefault="00004F2F" w:rsidP="00004F2F">
      <w:pPr>
        <w:pStyle w:val="NormalWeb"/>
      </w:pPr>
      <w:r>
        <w:rPr>
          <w:rFonts w:ascii="TimesNewRomanPSMT" w:hAnsi="TimesNewRomanPSMT"/>
        </w:rPr>
        <w:t xml:space="preserve">26) </w:t>
      </w:r>
      <w:r>
        <w:rPr>
          <w:rFonts w:ascii="TimesNewRomanPSMT" w:hAnsi="TimesNewRomanPSMT"/>
          <w:color w:val="0070BA"/>
        </w:rPr>
        <w:t xml:space="preserve">Specific Local Predictors That Reflect the Tropism of </w:t>
      </w:r>
      <w:r>
        <w:rPr>
          <w:rFonts w:ascii="TimesNewRomanPS" w:hAnsi="TimesNewRomanPS"/>
          <w:b/>
          <w:bCs/>
          <w:color w:val="0070BA"/>
        </w:rPr>
        <w:t>Endometriosis</w:t>
      </w:r>
      <w:r>
        <w:rPr>
          <w:rFonts w:ascii="TimesNewRomanPSMT" w:hAnsi="TimesNewRomanPSMT"/>
          <w:color w:val="0070BA"/>
        </w:rPr>
        <w:t xml:space="preserve">-A Multiple Immunohistochemistry Technique. </w:t>
      </w:r>
    </w:p>
    <w:p w14:paraId="07719589" w14:textId="77777777" w:rsidR="00004F2F" w:rsidRDefault="00004F2F" w:rsidP="00004F2F">
      <w:pPr>
        <w:pStyle w:val="NormalWeb"/>
      </w:pPr>
      <w:proofErr w:type="spellStart"/>
      <w:r>
        <w:rPr>
          <w:rFonts w:ascii="TimesNewRomanPSMT" w:hAnsi="TimesNewRomanPSMT"/>
          <w:color w:val="1E1E1E"/>
        </w:rPr>
        <w:t>Istrate-Ofiţeru</w:t>
      </w:r>
      <w:proofErr w:type="spellEnd"/>
      <w:r>
        <w:rPr>
          <w:rFonts w:ascii="TimesNewRomanPSMT" w:hAnsi="TimesNewRomanPSMT"/>
          <w:color w:val="1E1E1E"/>
        </w:rPr>
        <w:t xml:space="preserve"> AM, </w:t>
      </w:r>
      <w:proofErr w:type="spellStart"/>
      <w:r>
        <w:rPr>
          <w:rFonts w:ascii="TimesNewRomanPSMT" w:hAnsi="TimesNewRomanPSMT"/>
          <w:color w:val="1E1E1E"/>
        </w:rPr>
        <w:t>Berbecaru</w:t>
      </w:r>
      <w:proofErr w:type="spellEnd"/>
      <w:r>
        <w:rPr>
          <w:rFonts w:ascii="TimesNewRomanPSMT" w:hAnsi="TimesNewRomanPSMT"/>
          <w:color w:val="1E1E1E"/>
        </w:rPr>
        <w:t xml:space="preserve"> EI, </w:t>
      </w:r>
      <w:proofErr w:type="spellStart"/>
      <w:r>
        <w:rPr>
          <w:rFonts w:ascii="TimesNewRomanPSMT" w:hAnsi="TimesNewRomanPSMT"/>
          <w:color w:val="1E1E1E"/>
        </w:rPr>
        <w:t>Zorila</w:t>
      </w:r>
      <w:proofErr w:type="spellEnd"/>
      <w:r>
        <w:rPr>
          <w:rFonts w:ascii="TimesNewRomanPSMT" w:hAnsi="TimesNewRomanPSMT"/>
          <w:color w:val="1E1E1E"/>
        </w:rPr>
        <w:t xml:space="preserve">̆ GL, </w:t>
      </w:r>
      <w:proofErr w:type="spellStart"/>
      <w:r>
        <w:rPr>
          <w:rFonts w:ascii="TimesNewRomanPSMT" w:hAnsi="TimesNewRomanPSMT"/>
          <w:color w:val="1E1E1E"/>
        </w:rPr>
        <w:t>Roşu</w:t>
      </w:r>
      <w:proofErr w:type="spellEnd"/>
      <w:r>
        <w:rPr>
          <w:rFonts w:ascii="TimesNewRomanPSMT" w:hAnsi="TimesNewRomanPSMT"/>
          <w:color w:val="1E1E1E"/>
        </w:rPr>
        <w:t xml:space="preserve"> GC, </w:t>
      </w:r>
      <w:proofErr w:type="spellStart"/>
      <w:r>
        <w:rPr>
          <w:rFonts w:ascii="TimesNewRomanPSMT" w:hAnsi="TimesNewRomanPSMT"/>
          <w:color w:val="1E1E1E"/>
        </w:rPr>
        <w:t>Dîra</w:t>
      </w:r>
      <w:proofErr w:type="spellEnd"/>
      <w:r>
        <w:rPr>
          <w:rFonts w:ascii="TimesNewRomanPSMT" w:hAnsi="TimesNewRomanPSMT"/>
          <w:color w:val="1E1E1E"/>
        </w:rPr>
        <w:t xml:space="preserve">̆ LM, </w:t>
      </w:r>
      <w:proofErr w:type="spellStart"/>
      <w:r>
        <w:rPr>
          <w:rFonts w:ascii="TimesNewRomanPSMT" w:hAnsi="TimesNewRomanPSMT"/>
          <w:color w:val="1E1E1E"/>
        </w:rPr>
        <w:t>Comănescu</w:t>
      </w:r>
      <w:proofErr w:type="spellEnd"/>
      <w:r>
        <w:rPr>
          <w:rFonts w:ascii="TimesNewRomanPSMT" w:hAnsi="TimesNewRomanPSMT"/>
          <w:color w:val="1E1E1E"/>
        </w:rPr>
        <w:t xml:space="preserve"> CM, </w:t>
      </w:r>
      <w:proofErr w:type="spellStart"/>
      <w:r>
        <w:rPr>
          <w:rFonts w:ascii="TimesNewRomanPSMT" w:hAnsi="TimesNewRomanPSMT"/>
          <w:color w:val="1E1E1E"/>
        </w:rPr>
        <w:t>Drăguşin</w:t>
      </w:r>
      <w:proofErr w:type="spellEnd"/>
      <w:r>
        <w:rPr>
          <w:rFonts w:ascii="TimesNewRomanPSMT" w:hAnsi="TimesNewRomanPSMT"/>
          <w:color w:val="1E1E1E"/>
        </w:rPr>
        <w:t xml:space="preserve"> RC, </w:t>
      </w:r>
      <w:proofErr w:type="spellStart"/>
      <w:r>
        <w:rPr>
          <w:rFonts w:ascii="TimesNewRomanPSMT" w:hAnsi="TimesNewRomanPSMT"/>
          <w:color w:val="1E1E1E"/>
        </w:rPr>
        <w:t>Ruican</w:t>
      </w:r>
      <w:proofErr w:type="spellEnd"/>
      <w:r>
        <w:rPr>
          <w:rFonts w:ascii="TimesNewRomanPSMT" w:hAnsi="TimesNewRomanPSMT"/>
          <w:color w:val="1E1E1E"/>
        </w:rPr>
        <w:t xml:space="preserve"> D, Nagy RD, Iliescu DG, </w:t>
      </w:r>
      <w:proofErr w:type="spellStart"/>
      <w:r>
        <w:rPr>
          <w:rFonts w:ascii="TimesNewRomanPSMT" w:hAnsi="TimesNewRomanPSMT"/>
          <w:color w:val="1E1E1E"/>
        </w:rPr>
        <w:t>Mogoanta</w:t>
      </w:r>
      <w:proofErr w:type="spellEnd"/>
      <w:r>
        <w:rPr>
          <w:rFonts w:ascii="TimesNewRomanPSMT" w:hAnsi="TimesNewRomanPSMT"/>
          <w:color w:val="1E1E1E"/>
        </w:rPr>
        <w:t xml:space="preserve">̆ L, </w:t>
      </w:r>
      <w:proofErr w:type="spellStart"/>
      <w:r>
        <w:rPr>
          <w:rFonts w:ascii="TimesNewRomanPSMT" w:hAnsi="TimesNewRomanPSMT"/>
          <w:color w:val="1E1E1E"/>
        </w:rPr>
        <w:t>Pirici</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D.</w:t>
      </w:r>
      <w:r>
        <w:rPr>
          <w:rFonts w:ascii="TimesNewRomanPSMT" w:hAnsi="TimesNewRomanPSMT"/>
          <w:color w:val="4C7F54"/>
        </w:rPr>
        <w:t>Int</w:t>
      </w:r>
      <w:proofErr w:type="spellEnd"/>
      <w:proofErr w:type="gramEnd"/>
      <w:r>
        <w:rPr>
          <w:rFonts w:ascii="TimesNewRomanPSMT" w:hAnsi="TimesNewRomanPSMT"/>
          <w:color w:val="4C7F54"/>
        </w:rPr>
        <w:t xml:space="preserve"> J Mol Sci. 2022 May 17;23(10):5614. </w:t>
      </w:r>
      <w:proofErr w:type="spellStart"/>
      <w:r>
        <w:rPr>
          <w:rFonts w:ascii="TimesNewRomanPSMT" w:hAnsi="TimesNewRomanPSMT"/>
          <w:color w:val="4C7F54"/>
        </w:rPr>
        <w:t>doi</w:t>
      </w:r>
      <w:proofErr w:type="spellEnd"/>
      <w:r>
        <w:rPr>
          <w:rFonts w:ascii="TimesNewRomanPSMT" w:hAnsi="TimesNewRomanPSMT"/>
          <w:color w:val="4C7F54"/>
        </w:rPr>
        <w:t xml:space="preserve">: 10.3390/ijms23105614.PMID: 35628423 </w:t>
      </w:r>
      <w:r>
        <w:rPr>
          <w:rFonts w:ascii="TimesNewRomanPS" w:hAnsi="TimesNewRomanPS"/>
          <w:b/>
          <w:bCs/>
          <w:color w:val="BF5400"/>
        </w:rPr>
        <w:t xml:space="preserve">Free PMC article. </w:t>
      </w:r>
    </w:p>
    <w:p w14:paraId="2B824EE9" w14:textId="77777777" w:rsidR="00004F2F" w:rsidRDefault="00004F2F" w:rsidP="00004F2F">
      <w:pPr>
        <w:pStyle w:val="NormalWeb"/>
        <w:shd w:val="clear" w:color="auto" w:fill="FFFFFF"/>
      </w:pPr>
      <w:r>
        <w:rPr>
          <w:rFonts w:ascii="TimesNewRomanPS" w:hAnsi="TimesNewRomanPS"/>
          <w:b/>
          <w:bCs/>
          <w:color w:val="1E1E1E"/>
        </w:rPr>
        <w:t xml:space="preserve">Abstract </w:t>
      </w:r>
    </w:p>
    <w:p w14:paraId="411A0594" w14:textId="77777777" w:rsidR="00004F2F" w:rsidRDefault="00004F2F" w:rsidP="00004F2F">
      <w:pPr>
        <w:pStyle w:val="NormalWeb"/>
        <w:shd w:val="clear" w:color="auto" w:fill="FFFFFF"/>
      </w:pPr>
      <w:r>
        <w:rPr>
          <w:rFonts w:ascii="TimesNewRomanPSMT" w:hAnsi="TimesNewRomanPSMT"/>
          <w:color w:val="1E1E1E"/>
        </w:rPr>
        <w:t xml:space="preserve">Ectopic endometrial epithelium associates a wide spectrum of symptomatology. Their evolution can be influenced by inflammatory and vascular changes, that affect not only the structure and cell proliferation rate, but also symptoms. This prospective study involved tissue samples from surgically treated patients, stained using classical </w:t>
      </w:r>
      <w:proofErr w:type="spellStart"/>
      <w:r>
        <w:rPr>
          <w:rFonts w:ascii="TimesNewRomanPSMT" w:hAnsi="TimesNewRomanPSMT"/>
          <w:color w:val="1E1E1E"/>
        </w:rPr>
        <w:t>histotechniques</w:t>
      </w:r>
      <w:proofErr w:type="spellEnd"/>
      <w:r>
        <w:rPr>
          <w:rFonts w:ascii="TimesNewRomanPSMT" w:hAnsi="TimesNewRomanPSMT"/>
          <w:color w:val="1E1E1E"/>
        </w:rPr>
        <w:t xml:space="preserve"> and immunohistochemistry. We assessed ectopic endometrial glands (CK7+, CK20-), adjacent blood vessels (CD34+), </w:t>
      </w:r>
      <w:proofErr w:type="spellStart"/>
      <w:r>
        <w:rPr>
          <w:rFonts w:ascii="TimesNewRomanPSMT" w:hAnsi="TimesNewRomanPSMT"/>
          <w:color w:val="1E1E1E"/>
        </w:rPr>
        <w:t>estrogen</w:t>
      </w:r>
      <w:proofErr w:type="spellEnd"/>
      <w:r>
        <w:rPr>
          <w:rFonts w:ascii="TimesNewRomanPSMT" w:hAnsi="TimesNewRomanPSMT"/>
          <w:color w:val="1E1E1E"/>
        </w:rPr>
        <w:t xml:space="preserve">/progesterone hormone receptors (ER+, PR+), inflammatory cells (CD3+, CD20+, CD68+, Tryptase+), rate of inflammatory cells (Ki67+) and oncoproteins (BCL2+, PTEN+, p53+) involved in the development of endometriosis/adenomyosis. A CK7+/CK20- expression profile was present in the ectopic epithelium and differentiated it from digestive metastases. ER+/PR+ were present in all cases </w:t>
      </w:r>
      <w:proofErr w:type="spellStart"/>
      <w:r>
        <w:rPr>
          <w:rFonts w:ascii="TimesNewRomanPSMT" w:hAnsi="TimesNewRomanPSMT"/>
          <w:color w:val="1E1E1E"/>
        </w:rPr>
        <w:t>analyzed</w:t>
      </w:r>
      <w:proofErr w:type="spellEnd"/>
      <w:r>
        <w:rPr>
          <w:rFonts w:ascii="TimesNewRomanPSMT" w:hAnsi="TimesNewRomanPSMT"/>
          <w:color w:val="1E1E1E"/>
        </w:rPr>
        <w:t>. We found an increased vascularity (CD34+) in the areas with abdominal endometriosis and CD3+</w:t>
      </w:r>
      <w:proofErr w:type="gramStart"/>
      <w:r>
        <w:rPr>
          <w:rFonts w:ascii="TimesNewRomanPSMT" w:hAnsi="TimesNewRomanPSMT"/>
          <w:color w:val="1E1E1E"/>
        </w:rPr>
        <w:t>-:T</w:t>
      </w:r>
      <w:proofErr w:type="gramEnd"/>
      <w:r>
        <w:rPr>
          <w:rFonts w:ascii="TimesNewRomanPSMT" w:hAnsi="TimesNewRomanPSMT"/>
          <w:color w:val="1E1E1E"/>
        </w:rPr>
        <w:t xml:space="preserve">-lymphocytes, CD20+-:B-lymphocytes, CD68+:macrophages, and Tryptase+: mastocytes were abundant, especially in cases with adenomyosis as a marker of proinflammatory microenvironment. In addition, we found a significantly higher division index-(Ki67+) in the areas with adenomyosis, and inactivation of </w:t>
      </w:r>
      <w:proofErr w:type="spellStart"/>
      <w:r>
        <w:rPr>
          <w:rFonts w:ascii="TimesNewRomanPSMT" w:hAnsi="TimesNewRomanPSMT"/>
          <w:color w:val="1E1E1E"/>
        </w:rPr>
        <w:t>tumor</w:t>
      </w:r>
      <w:proofErr w:type="spellEnd"/>
      <w:r>
        <w:rPr>
          <w:rFonts w:ascii="TimesNewRomanPSMT" w:hAnsi="TimesNewRomanPSMT"/>
          <w:color w:val="1E1E1E"/>
        </w:rPr>
        <w:t xml:space="preserve"> suppressor genes-p53+ in areas with neoplastic changes. The inflammatory/vascular/hormonal mechanisms trigger endometriosis progression and neoplastic changes increasing local pain. Furthermore, they may represent future therapeutic targets. Simultaneous-multiple immunohistochemical labelling represents a valuable technique for rapidly detecting cellular features that facilitate comparative analysis of the studied predictors. </w:t>
      </w:r>
    </w:p>
    <w:p w14:paraId="1E54DCCE" w14:textId="77777777" w:rsidR="00004F2F" w:rsidRDefault="00004F2F" w:rsidP="00004F2F">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adenomyosis; endometriosis; histology; immunohistochemistry. </w:t>
      </w:r>
    </w:p>
    <w:p w14:paraId="0E0D276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F2F"/>
    <w:rsid w:val="00004F2F"/>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D8219E"/>
  <w15:chartTrackingRefBased/>
  <w15:docId w15:val="{98AAAFD4-59AF-9249-901C-C9B88B8FF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04F2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9290853">
      <w:bodyDiv w:val="1"/>
      <w:marLeft w:val="0"/>
      <w:marRight w:val="0"/>
      <w:marTop w:val="0"/>
      <w:marBottom w:val="0"/>
      <w:divBdr>
        <w:top w:val="none" w:sz="0" w:space="0" w:color="auto"/>
        <w:left w:val="none" w:sz="0" w:space="0" w:color="auto"/>
        <w:bottom w:val="none" w:sz="0" w:space="0" w:color="auto"/>
        <w:right w:val="none" w:sz="0" w:space="0" w:color="auto"/>
      </w:divBdr>
      <w:divsChild>
        <w:div w:id="249966028">
          <w:marLeft w:val="0"/>
          <w:marRight w:val="0"/>
          <w:marTop w:val="0"/>
          <w:marBottom w:val="0"/>
          <w:divBdr>
            <w:top w:val="none" w:sz="0" w:space="0" w:color="auto"/>
            <w:left w:val="none" w:sz="0" w:space="0" w:color="auto"/>
            <w:bottom w:val="none" w:sz="0" w:space="0" w:color="auto"/>
            <w:right w:val="none" w:sz="0" w:space="0" w:color="auto"/>
          </w:divBdr>
          <w:divsChild>
            <w:div w:id="1693608898">
              <w:marLeft w:val="0"/>
              <w:marRight w:val="0"/>
              <w:marTop w:val="0"/>
              <w:marBottom w:val="0"/>
              <w:divBdr>
                <w:top w:val="none" w:sz="0" w:space="0" w:color="auto"/>
                <w:left w:val="none" w:sz="0" w:space="0" w:color="auto"/>
                <w:bottom w:val="none" w:sz="0" w:space="0" w:color="auto"/>
                <w:right w:val="none" w:sz="0" w:space="0" w:color="auto"/>
              </w:divBdr>
              <w:divsChild>
                <w:div w:id="54744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45169">
          <w:marLeft w:val="0"/>
          <w:marRight w:val="0"/>
          <w:marTop w:val="0"/>
          <w:marBottom w:val="0"/>
          <w:divBdr>
            <w:top w:val="none" w:sz="0" w:space="0" w:color="auto"/>
            <w:left w:val="none" w:sz="0" w:space="0" w:color="auto"/>
            <w:bottom w:val="none" w:sz="0" w:space="0" w:color="auto"/>
            <w:right w:val="none" w:sz="0" w:space="0" w:color="auto"/>
          </w:divBdr>
          <w:divsChild>
            <w:div w:id="1547713392">
              <w:marLeft w:val="0"/>
              <w:marRight w:val="0"/>
              <w:marTop w:val="0"/>
              <w:marBottom w:val="0"/>
              <w:divBdr>
                <w:top w:val="none" w:sz="0" w:space="0" w:color="auto"/>
                <w:left w:val="none" w:sz="0" w:space="0" w:color="auto"/>
                <w:bottom w:val="none" w:sz="0" w:space="0" w:color="auto"/>
                <w:right w:val="none" w:sz="0" w:space="0" w:color="auto"/>
              </w:divBdr>
              <w:divsChild>
                <w:div w:id="2057972524">
                  <w:marLeft w:val="0"/>
                  <w:marRight w:val="0"/>
                  <w:marTop w:val="0"/>
                  <w:marBottom w:val="0"/>
                  <w:divBdr>
                    <w:top w:val="none" w:sz="0" w:space="0" w:color="auto"/>
                    <w:left w:val="none" w:sz="0" w:space="0" w:color="auto"/>
                    <w:bottom w:val="none" w:sz="0" w:space="0" w:color="auto"/>
                    <w:right w:val="none" w:sz="0" w:space="0" w:color="auto"/>
                  </w:divBdr>
                </w:div>
              </w:divsChild>
            </w:div>
            <w:div w:id="1859729753">
              <w:marLeft w:val="0"/>
              <w:marRight w:val="0"/>
              <w:marTop w:val="0"/>
              <w:marBottom w:val="0"/>
              <w:divBdr>
                <w:top w:val="none" w:sz="0" w:space="0" w:color="auto"/>
                <w:left w:val="none" w:sz="0" w:space="0" w:color="auto"/>
                <w:bottom w:val="none" w:sz="0" w:space="0" w:color="auto"/>
                <w:right w:val="none" w:sz="0" w:space="0" w:color="auto"/>
              </w:divBdr>
              <w:divsChild>
                <w:div w:id="1223179214">
                  <w:marLeft w:val="0"/>
                  <w:marRight w:val="0"/>
                  <w:marTop w:val="0"/>
                  <w:marBottom w:val="0"/>
                  <w:divBdr>
                    <w:top w:val="none" w:sz="0" w:space="0" w:color="auto"/>
                    <w:left w:val="none" w:sz="0" w:space="0" w:color="auto"/>
                    <w:bottom w:val="none" w:sz="0" w:space="0" w:color="auto"/>
                    <w:right w:val="none" w:sz="0" w:space="0" w:color="auto"/>
                  </w:divBdr>
                  <w:divsChild>
                    <w:div w:id="111412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320</Words>
  <Characters>1826</Characters>
  <Application>Microsoft Office Word</Application>
  <DocSecurity>0</DocSecurity>
  <Lines>15</Lines>
  <Paragraphs>4</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2022-07-30T18:34:00Z</dcterms:created>
  <dcterms:modified xsi:type="dcterms:W3CDTF">2022-07-30T18:34:00Z</dcterms:modified>
</cp:coreProperties>
</file>