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28F1D" w14:textId="77777777" w:rsidR="007853A4" w:rsidRDefault="007853A4" w:rsidP="007853A4">
      <w:pPr>
        <w:pStyle w:val="NormalWeb"/>
      </w:pPr>
      <w:r>
        <w:rPr>
          <w:rFonts w:ascii="TimesNewRomanPSMT" w:hAnsi="TimesNewRomanPSMT"/>
        </w:rPr>
        <w:t xml:space="preserve">28) </w:t>
      </w:r>
      <w:r>
        <w:rPr>
          <w:rFonts w:ascii="TimesNewRomanPSMT" w:hAnsi="TimesNewRomanPSMT"/>
          <w:color w:val="0070BA"/>
        </w:rPr>
        <w:t xml:space="preserve">Progesterone Receptor Status of Epithelial Cells as a Predictive Marker for Postoperative Recurrence of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. </w:t>
      </w:r>
    </w:p>
    <w:p w14:paraId="7F9914E3" w14:textId="77777777" w:rsidR="007853A4" w:rsidRDefault="007853A4" w:rsidP="007853A4">
      <w:pPr>
        <w:pStyle w:val="NormalWeb"/>
      </w:pPr>
      <w:r>
        <w:rPr>
          <w:rFonts w:ascii="TimesNewRomanPSMT" w:hAnsi="TimesNewRomanPSMT"/>
          <w:color w:val="1E1E1E"/>
        </w:rPr>
        <w:t xml:space="preserve">Tarumi Y, Mori T, Shimura K, Izumi Y, </w:t>
      </w:r>
      <w:proofErr w:type="spellStart"/>
      <w:r>
        <w:rPr>
          <w:rFonts w:ascii="TimesNewRomanPSMT" w:hAnsi="TimesNewRomanPSMT"/>
          <w:color w:val="1E1E1E"/>
        </w:rPr>
        <w:t>Okimura</w:t>
      </w:r>
      <w:proofErr w:type="spellEnd"/>
      <w:r>
        <w:rPr>
          <w:rFonts w:ascii="TimesNewRomanPSMT" w:hAnsi="TimesNewRomanPSMT"/>
          <w:color w:val="1E1E1E"/>
        </w:rPr>
        <w:t xml:space="preserve"> H, Kataoka H, </w:t>
      </w:r>
      <w:proofErr w:type="spellStart"/>
      <w:r>
        <w:rPr>
          <w:rFonts w:ascii="TimesNewRomanPSMT" w:hAnsi="TimesNewRomanPSMT"/>
          <w:color w:val="1E1E1E"/>
        </w:rPr>
        <w:t>Kokabu</w:t>
      </w:r>
      <w:proofErr w:type="spellEnd"/>
      <w:r>
        <w:rPr>
          <w:rFonts w:ascii="TimesNewRomanPSMT" w:hAnsi="TimesNewRomanPSMT"/>
          <w:color w:val="1E1E1E"/>
        </w:rPr>
        <w:t xml:space="preserve"> T, Ito F, </w:t>
      </w:r>
      <w:proofErr w:type="spellStart"/>
      <w:r>
        <w:rPr>
          <w:rFonts w:ascii="TimesNewRomanPSMT" w:hAnsi="TimesNewRomanPSMT"/>
          <w:color w:val="1E1E1E"/>
        </w:rPr>
        <w:t>Koshiba</w:t>
      </w:r>
      <w:proofErr w:type="spellEnd"/>
      <w:r>
        <w:rPr>
          <w:rFonts w:ascii="TimesNewRomanPSMT" w:hAnsi="TimesNewRomanPSMT"/>
          <w:color w:val="1E1E1E"/>
        </w:rPr>
        <w:t xml:space="preserve"> A, Khan KN, </w:t>
      </w:r>
      <w:proofErr w:type="spellStart"/>
      <w:r>
        <w:rPr>
          <w:rFonts w:ascii="TimesNewRomanPSMT" w:hAnsi="TimesNewRomanPSMT"/>
          <w:color w:val="1E1E1E"/>
        </w:rPr>
        <w:t>Kusuki</w:t>
      </w:r>
      <w:proofErr w:type="spellEnd"/>
      <w:r>
        <w:rPr>
          <w:rFonts w:ascii="TimesNewRomanPSMT" w:hAnsi="TimesNewRomanPSMT"/>
          <w:color w:val="1E1E1E"/>
        </w:rPr>
        <w:t xml:space="preserve"> I, </w:t>
      </w:r>
      <w:proofErr w:type="spellStart"/>
      <w:r>
        <w:rPr>
          <w:rFonts w:ascii="TimesNewRomanPSMT" w:hAnsi="TimesNewRomanPSMT"/>
          <w:color w:val="1E1E1E"/>
        </w:rPr>
        <w:t>Kitawaki</w:t>
      </w:r>
      <w:proofErr w:type="spellEnd"/>
      <w:r>
        <w:rPr>
          <w:rFonts w:ascii="TimesNewRomanPSMT" w:hAnsi="TimesNewRomanPSMT"/>
          <w:color w:val="1E1E1E"/>
        </w:rPr>
        <w:t xml:space="preserve"> J.</w:t>
      </w:r>
      <w:r>
        <w:rPr>
          <w:rFonts w:ascii="TimesNewRomanPSMT" w:hAnsi="TimesNewRomanPSMT"/>
          <w:color w:val="4C7F54"/>
        </w:rPr>
        <w:t xml:space="preserve">J Clin Endocrinol </w:t>
      </w:r>
      <w:proofErr w:type="spellStart"/>
      <w:r>
        <w:rPr>
          <w:rFonts w:ascii="TimesNewRomanPSMT" w:hAnsi="TimesNewRomanPSMT"/>
          <w:color w:val="4C7F54"/>
        </w:rPr>
        <w:t>Metab</w:t>
      </w:r>
      <w:proofErr w:type="spellEnd"/>
      <w:r>
        <w:rPr>
          <w:rFonts w:ascii="TimesNewRomanPSMT" w:hAnsi="TimesNewRomanPSMT"/>
          <w:color w:val="4C7F54"/>
        </w:rPr>
        <w:t xml:space="preserve">. 2022 May 17;107(6):1552-1559.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>: 10.1210/</w:t>
      </w:r>
      <w:proofErr w:type="spellStart"/>
      <w:r>
        <w:rPr>
          <w:rFonts w:ascii="TimesNewRomanPSMT" w:hAnsi="TimesNewRomanPSMT"/>
          <w:color w:val="4C7F54"/>
        </w:rPr>
        <w:t>clinem</w:t>
      </w:r>
      <w:proofErr w:type="spellEnd"/>
      <w:r>
        <w:rPr>
          <w:rFonts w:ascii="TimesNewRomanPSMT" w:hAnsi="TimesNewRomanPSMT"/>
          <w:color w:val="4C7F54"/>
        </w:rPr>
        <w:t xml:space="preserve">/dgac118.PMID: 35235655 </w:t>
      </w:r>
    </w:p>
    <w:p w14:paraId="2EC34200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13C7C575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Context: </w:t>
      </w:r>
      <w:r>
        <w:rPr>
          <w:rFonts w:ascii="TimesNewRomanPSMT" w:hAnsi="TimesNewRomanPSMT"/>
          <w:color w:val="1E1E1E"/>
        </w:rPr>
        <w:t xml:space="preserve">Progesterone resistance including progesterone receptor (PR) deficiency contributes to the pathophysiology of endometriosis; however, whether the PR expression levels in ovarian endometrioma (OE) correlate with the postoperative recurrence of endometriosis remains unclear. </w:t>
      </w:r>
    </w:p>
    <w:p w14:paraId="71EEC99B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Objective: </w:t>
      </w:r>
      <w:r>
        <w:rPr>
          <w:rFonts w:ascii="TimesNewRomanPSMT" w:hAnsi="TimesNewRomanPSMT"/>
          <w:color w:val="1E1E1E"/>
        </w:rPr>
        <w:t xml:space="preserve">This study aimed to investigate the association between PR expression levels in OE and the recurrence of endometriosis. </w:t>
      </w:r>
    </w:p>
    <w:p w14:paraId="70B930AC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OE specimens were obtained from 132 patients who underwent conservative surgery for endometriosis. The PR expression levels were evaluated using the H score after immunohistochemical staining. </w:t>
      </w:r>
    </w:p>
    <w:p w14:paraId="0B8D2FF2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Of the 132 patients, 36 (27.3%) experienced recurrence and 96 (72.7%) did not. No differences were observed in the patient characteristics between the recurrence and nonrecurrence groups except for follow-up period. PR immunoreactivity in the epithelial cells (ECs) was statistically significantly lower in the recurrent group than in the nonrecurrent group (P &lt; .01); however, this change was not observed in the stromal cells. Moreover, multivariable logistic regression analysis revealed that the H score of PR in ECs was an independent factor and was statistically significantly associated with the recurrence of endometriosis (P = .01). Furthermore, we divided the patients into PR-negative or PR-positive groups. The cumulative recurrence rate in the negative PR group was statistically significantly higher than that in the positive PR group (P = .046). </w:t>
      </w:r>
    </w:p>
    <w:p w14:paraId="42751B53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Low PR expression levels in OE-ECs may predict the recurrence of endometriosis. The PR status in OE-ECs is associated with the pathophysiology of the recurrence of </w:t>
      </w:r>
      <w:proofErr w:type="gramStart"/>
      <w:r>
        <w:rPr>
          <w:rFonts w:ascii="TimesNewRomanPSMT" w:hAnsi="TimesNewRomanPSMT"/>
          <w:color w:val="1E1E1E"/>
        </w:rPr>
        <w:t>endometriosis, and</w:t>
      </w:r>
      <w:proofErr w:type="gramEnd"/>
      <w:r>
        <w:rPr>
          <w:rFonts w:ascii="TimesNewRomanPSMT" w:hAnsi="TimesNewRomanPSMT"/>
          <w:color w:val="1E1E1E"/>
        </w:rPr>
        <w:t xml:space="preserve"> optimized postoperative management for endometriosis may be provided by referring to the PR status. </w:t>
      </w:r>
    </w:p>
    <w:p w14:paraId="21A612C6" w14:textId="77777777" w:rsidR="007853A4" w:rsidRDefault="007853A4" w:rsidP="007853A4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endometriosis; progesterone receptor; recurrence. </w:t>
      </w:r>
    </w:p>
    <w:p w14:paraId="0D2ED20A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3A4"/>
    <w:rsid w:val="001C7F88"/>
    <w:rsid w:val="00432D50"/>
    <w:rsid w:val="007853A4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DAA0F"/>
  <w15:chartTrackingRefBased/>
  <w15:docId w15:val="{1B2F02B9-FF3C-8846-BED9-BA23E38B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53A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2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03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7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8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42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26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87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9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2022-07-30T18:35:00Z</dcterms:created>
  <dcterms:modified xsi:type="dcterms:W3CDTF">2022-07-30T18:36:00Z</dcterms:modified>
</cp:coreProperties>
</file>