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FF196" w14:textId="77777777" w:rsidR="00AC2C01" w:rsidRDefault="00AC2C01" w:rsidP="00AC2C01">
      <w:pPr>
        <w:pStyle w:val="NormalWeb"/>
      </w:pPr>
      <w:r>
        <w:rPr>
          <w:rFonts w:ascii="TimesNewRomanPSMT" w:hAnsi="TimesNewRomanPSMT"/>
        </w:rPr>
        <w:t xml:space="preserve">31) </w:t>
      </w:r>
      <w:r>
        <w:rPr>
          <w:rFonts w:ascii="TimesNewRomanPSMT" w:hAnsi="TimesNewRomanPSMT"/>
          <w:color w:val="0070BA"/>
        </w:rPr>
        <w:t xml:space="preserve">Association of preoperative </w:t>
      </w:r>
      <w:proofErr w:type="spellStart"/>
      <w:r>
        <w:rPr>
          <w:rFonts w:ascii="TimesNewRomanPSMT" w:hAnsi="TimesNewRomanPSMT"/>
          <w:color w:val="0070BA"/>
        </w:rPr>
        <w:t>Enzian</w:t>
      </w:r>
      <w:proofErr w:type="spellEnd"/>
      <w:r>
        <w:rPr>
          <w:rFonts w:ascii="TimesNewRomanPSMT" w:hAnsi="TimesNewRomanPSMT"/>
          <w:color w:val="0070BA"/>
        </w:rPr>
        <w:t xml:space="preserve"> score with postoperative fertility in patients with deep pelvic </w:t>
      </w:r>
      <w:r>
        <w:rPr>
          <w:rFonts w:ascii="TimesNewRomanPS" w:hAnsi="TimesNewRomanPS"/>
          <w:b/>
          <w:bCs/>
          <w:color w:val="0070BA"/>
        </w:rPr>
        <w:t>endometriosis</w:t>
      </w:r>
      <w:r>
        <w:rPr>
          <w:rFonts w:ascii="TimesNewRomanPSMT" w:hAnsi="TimesNewRomanPSMT"/>
          <w:color w:val="0070BA"/>
        </w:rPr>
        <w:t xml:space="preserve">. </w:t>
      </w:r>
    </w:p>
    <w:p w14:paraId="0173E588" w14:textId="77777777" w:rsidR="00AC2C01" w:rsidRDefault="00AC2C01" w:rsidP="00AC2C01">
      <w:pPr>
        <w:pStyle w:val="NormalWeb"/>
      </w:pPr>
      <w:proofErr w:type="spellStart"/>
      <w:r>
        <w:rPr>
          <w:rFonts w:ascii="TimesNewRomanPSMT" w:hAnsi="TimesNewRomanPSMT"/>
          <w:color w:val="1E1E1E"/>
        </w:rPr>
        <w:t>Dirou</w:t>
      </w:r>
      <w:proofErr w:type="spellEnd"/>
      <w:r>
        <w:rPr>
          <w:rFonts w:ascii="TimesNewRomanPSMT" w:hAnsi="TimesNewRomanPSMT"/>
          <w:color w:val="1E1E1E"/>
        </w:rPr>
        <w:t xml:space="preserve"> C, </w:t>
      </w:r>
      <w:proofErr w:type="spellStart"/>
      <w:r>
        <w:rPr>
          <w:rFonts w:ascii="TimesNewRomanPSMT" w:hAnsi="TimesNewRomanPSMT"/>
          <w:color w:val="1E1E1E"/>
        </w:rPr>
        <w:t>Fondin</w:t>
      </w:r>
      <w:proofErr w:type="spellEnd"/>
      <w:r>
        <w:rPr>
          <w:rFonts w:ascii="TimesNewRomanPSMT" w:hAnsi="TimesNewRomanPSMT"/>
          <w:color w:val="1E1E1E"/>
        </w:rPr>
        <w:t xml:space="preserve"> M, </w:t>
      </w:r>
      <w:proofErr w:type="spellStart"/>
      <w:r>
        <w:rPr>
          <w:rFonts w:ascii="TimesNewRomanPSMT" w:hAnsi="TimesNewRomanPSMT"/>
          <w:color w:val="1E1E1E"/>
        </w:rPr>
        <w:t>Pabic</w:t>
      </w:r>
      <w:proofErr w:type="spellEnd"/>
      <w:r>
        <w:rPr>
          <w:rFonts w:ascii="TimesNewRomanPSMT" w:hAnsi="TimesNewRomanPSMT"/>
          <w:color w:val="1E1E1E"/>
        </w:rPr>
        <w:t xml:space="preserve"> EL, </w:t>
      </w:r>
      <w:proofErr w:type="spellStart"/>
      <w:r>
        <w:rPr>
          <w:rFonts w:ascii="TimesNewRomanPSMT" w:hAnsi="TimesNewRomanPSMT"/>
          <w:color w:val="1E1E1E"/>
        </w:rPr>
        <w:t>Moawad</w:t>
      </w:r>
      <w:proofErr w:type="spellEnd"/>
      <w:r>
        <w:rPr>
          <w:rFonts w:ascii="TimesNewRomanPSMT" w:hAnsi="TimesNewRomanPSMT"/>
          <w:color w:val="1E1E1E"/>
        </w:rPr>
        <w:t xml:space="preserve"> G, Dion L, Nicolas F, </w:t>
      </w:r>
      <w:proofErr w:type="spellStart"/>
      <w:r>
        <w:rPr>
          <w:rFonts w:ascii="TimesNewRomanPSMT" w:hAnsi="TimesNewRomanPSMT"/>
          <w:color w:val="1E1E1E"/>
        </w:rPr>
        <w:t>Duros</w:t>
      </w:r>
      <w:proofErr w:type="spellEnd"/>
      <w:r>
        <w:rPr>
          <w:rFonts w:ascii="TimesNewRomanPSMT" w:hAnsi="TimesNewRomanPSMT"/>
          <w:color w:val="1E1E1E"/>
        </w:rPr>
        <w:t xml:space="preserve"> S, </w:t>
      </w:r>
      <w:proofErr w:type="spellStart"/>
      <w:r>
        <w:rPr>
          <w:rFonts w:ascii="TimesNewRomanPSMT" w:hAnsi="TimesNewRomanPSMT"/>
          <w:color w:val="1E1E1E"/>
        </w:rPr>
        <w:t>Bauville</w:t>
      </w:r>
      <w:proofErr w:type="spellEnd"/>
      <w:r>
        <w:rPr>
          <w:rFonts w:ascii="TimesNewRomanPSMT" w:hAnsi="TimesNewRomanPSMT"/>
          <w:color w:val="1E1E1E"/>
        </w:rPr>
        <w:t xml:space="preserve"> E, </w:t>
      </w:r>
      <w:proofErr w:type="spellStart"/>
      <w:r>
        <w:rPr>
          <w:rFonts w:ascii="TimesNewRomanPSMT" w:hAnsi="TimesNewRomanPSMT"/>
          <w:color w:val="1E1E1E"/>
        </w:rPr>
        <w:t>Coiffic</w:t>
      </w:r>
      <w:proofErr w:type="spellEnd"/>
      <w:r>
        <w:rPr>
          <w:rFonts w:ascii="TimesNewRomanPSMT" w:hAnsi="TimesNewRomanPSMT"/>
          <w:color w:val="1E1E1E"/>
        </w:rPr>
        <w:t xml:space="preserve"> J, </w:t>
      </w:r>
      <w:proofErr w:type="spellStart"/>
      <w:r>
        <w:rPr>
          <w:rFonts w:ascii="TimesNewRomanPSMT" w:hAnsi="TimesNewRomanPSMT"/>
          <w:color w:val="1E1E1E"/>
        </w:rPr>
        <w:t>Pizzoferrato</w:t>
      </w:r>
      <w:proofErr w:type="spellEnd"/>
      <w:r>
        <w:rPr>
          <w:rFonts w:ascii="TimesNewRomanPSMT" w:hAnsi="TimesNewRomanPSMT"/>
          <w:color w:val="1E1E1E"/>
        </w:rPr>
        <w:t xml:space="preserve"> AC, </w:t>
      </w:r>
      <w:proofErr w:type="spellStart"/>
      <w:r>
        <w:rPr>
          <w:rFonts w:ascii="TimesNewRomanPSMT" w:hAnsi="TimesNewRomanPSMT"/>
          <w:color w:val="1E1E1E"/>
        </w:rPr>
        <w:t>Béraud</w:t>
      </w:r>
      <w:proofErr w:type="spellEnd"/>
      <w:r>
        <w:rPr>
          <w:rFonts w:ascii="TimesNewRomanPSMT" w:hAnsi="TimesNewRomanPSMT"/>
          <w:color w:val="1E1E1E"/>
        </w:rPr>
        <w:t xml:space="preserve"> E, </w:t>
      </w:r>
      <w:proofErr w:type="spellStart"/>
      <w:r>
        <w:rPr>
          <w:rFonts w:ascii="TimesNewRomanPSMT" w:hAnsi="TimesNewRomanPSMT"/>
          <w:color w:val="1E1E1E"/>
        </w:rPr>
        <w:t>Levêque</w:t>
      </w:r>
      <w:proofErr w:type="spellEnd"/>
      <w:r>
        <w:rPr>
          <w:rFonts w:ascii="TimesNewRomanPSMT" w:hAnsi="TimesNewRomanPSMT"/>
          <w:color w:val="1E1E1E"/>
        </w:rPr>
        <w:t xml:space="preserve"> J, </w:t>
      </w:r>
      <w:proofErr w:type="spellStart"/>
      <w:r>
        <w:rPr>
          <w:rFonts w:ascii="TimesNewRomanPSMT" w:hAnsi="TimesNewRomanPSMT"/>
          <w:color w:val="1E1E1E"/>
        </w:rPr>
        <w:t>Lavoue</w:t>
      </w:r>
      <w:proofErr w:type="spellEnd"/>
      <w:r>
        <w:rPr>
          <w:rFonts w:ascii="TimesNewRomanPSMT" w:hAnsi="TimesNewRomanPSMT"/>
          <w:color w:val="1E1E1E"/>
        </w:rPr>
        <w:t xml:space="preserve">́ V, </w:t>
      </w:r>
      <w:proofErr w:type="spellStart"/>
      <w:r>
        <w:rPr>
          <w:rFonts w:ascii="TimesNewRomanPSMT" w:hAnsi="TimesNewRomanPSMT"/>
          <w:color w:val="1E1E1E"/>
        </w:rPr>
        <w:t>Nyangoh</w:t>
      </w:r>
      <w:proofErr w:type="spellEnd"/>
      <w:r>
        <w:rPr>
          <w:rFonts w:ascii="TimesNewRomanPSMT" w:hAnsi="TimesNewRomanPSMT"/>
          <w:color w:val="1E1E1E"/>
        </w:rPr>
        <w:t xml:space="preserve"> </w:t>
      </w:r>
      <w:proofErr w:type="spellStart"/>
      <w:r>
        <w:rPr>
          <w:rFonts w:ascii="TimesNewRomanPSMT" w:hAnsi="TimesNewRomanPSMT"/>
          <w:color w:val="1E1E1E"/>
        </w:rPr>
        <w:t>Timoh</w:t>
      </w:r>
      <w:proofErr w:type="spellEnd"/>
      <w:r>
        <w:rPr>
          <w:rFonts w:ascii="TimesNewRomanPSMT" w:hAnsi="TimesNewRomanPSMT"/>
          <w:color w:val="1E1E1E"/>
        </w:rPr>
        <w:t xml:space="preserve"> K.</w:t>
      </w:r>
      <w:r>
        <w:rPr>
          <w:rFonts w:ascii="TimesNewRomanPSMT" w:hAnsi="TimesNewRomanPSMT"/>
          <w:color w:val="4C7F54"/>
        </w:rPr>
        <w:t xml:space="preserve">J </w:t>
      </w:r>
      <w:proofErr w:type="spellStart"/>
      <w:r>
        <w:rPr>
          <w:rFonts w:ascii="TimesNewRomanPSMT" w:hAnsi="TimesNewRomanPSMT"/>
          <w:color w:val="4C7F54"/>
        </w:rPr>
        <w:t>Gynecol</w:t>
      </w:r>
      <w:proofErr w:type="spellEnd"/>
      <w:r>
        <w:rPr>
          <w:rFonts w:ascii="TimesNewRomanPSMT" w:hAnsi="TimesNewRomanPSMT"/>
          <w:color w:val="4C7F54"/>
        </w:rPr>
        <w:t xml:space="preserve"> </w:t>
      </w:r>
      <w:proofErr w:type="spellStart"/>
      <w:r>
        <w:rPr>
          <w:rFonts w:ascii="TimesNewRomanPSMT" w:hAnsi="TimesNewRomanPSMT"/>
          <w:color w:val="4C7F54"/>
        </w:rPr>
        <w:t>Obstet</w:t>
      </w:r>
      <w:proofErr w:type="spellEnd"/>
      <w:r>
        <w:rPr>
          <w:rFonts w:ascii="TimesNewRomanPSMT" w:hAnsi="TimesNewRomanPSMT"/>
          <w:color w:val="4C7F54"/>
        </w:rPr>
        <w:t xml:space="preserve"> Hum </w:t>
      </w:r>
      <w:proofErr w:type="spellStart"/>
      <w:r>
        <w:rPr>
          <w:rFonts w:ascii="TimesNewRomanPSMT" w:hAnsi="TimesNewRomanPSMT"/>
          <w:color w:val="4C7F54"/>
        </w:rPr>
        <w:t>Reprod</w:t>
      </w:r>
      <w:proofErr w:type="spellEnd"/>
      <w:r>
        <w:rPr>
          <w:rFonts w:ascii="TimesNewRomanPSMT" w:hAnsi="TimesNewRomanPSMT"/>
          <w:color w:val="4C7F54"/>
        </w:rPr>
        <w:t xml:space="preserve">. 2022 May 16;51(7):102408. </w:t>
      </w:r>
      <w:proofErr w:type="spellStart"/>
      <w:r>
        <w:rPr>
          <w:rFonts w:ascii="TimesNewRomanPSMT" w:hAnsi="TimesNewRomanPSMT"/>
          <w:color w:val="4C7F54"/>
        </w:rPr>
        <w:t>doi</w:t>
      </w:r>
      <w:proofErr w:type="spellEnd"/>
      <w:r>
        <w:rPr>
          <w:rFonts w:ascii="TimesNewRomanPSMT" w:hAnsi="TimesNewRomanPSMT"/>
          <w:color w:val="4C7F54"/>
        </w:rPr>
        <w:t xml:space="preserve">: 10.1016/j.jogoh.2022.102408. Online ahead of </w:t>
      </w:r>
      <w:proofErr w:type="spellStart"/>
      <w:proofErr w:type="gramStart"/>
      <w:r>
        <w:rPr>
          <w:rFonts w:ascii="TimesNewRomanPSMT" w:hAnsi="TimesNewRomanPSMT"/>
          <w:color w:val="4C7F54"/>
        </w:rPr>
        <w:t>print.PMID</w:t>
      </w:r>
      <w:proofErr w:type="spellEnd"/>
      <w:proofErr w:type="gramEnd"/>
      <w:r>
        <w:rPr>
          <w:rFonts w:ascii="TimesNewRomanPSMT" w:hAnsi="TimesNewRomanPSMT"/>
          <w:color w:val="4C7F54"/>
        </w:rPr>
        <w:t xml:space="preserve">: 35588972 </w:t>
      </w:r>
    </w:p>
    <w:p w14:paraId="5639444F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Abstract </w:t>
      </w:r>
    </w:p>
    <w:p w14:paraId="6DFE637D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Introduction: </w:t>
      </w:r>
      <w:r>
        <w:rPr>
          <w:rFonts w:ascii="TimesNewRomanPSMT" w:hAnsi="TimesNewRomanPSMT"/>
          <w:color w:val="1E1E1E"/>
        </w:rPr>
        <w:t xml:space="preserve">Endometriosis is a chronic inflammatory disease with a negative impact on fertility. The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classification provides a precise description of deep pelvic endometriotic lesions, especially in the retroperitoneal area, from preoperative pelvic MRI scans. However, it is not known if it is correlated with postoperative fertility. </w:t>
      </w:r>
    </w:p>
    <w:p w14:paraId="533BA114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Study objective: </w:t>
      </w:r>
      <w:r>
        <w:rPr>
          <w:rFonts w:ascii="TimesNewRomanPSMT" w:hAnsi="TimesNewRomanPSMT"/>
          <w:color w:val="1E1E1E"/>
        </w:rPr>
        <w:t xml:space="preserve">To determine if there is an association between the preoperative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score and postoperative fertility after deep pelvic endometriosis surgery. </w:t>
      </w:r>
    </w:p>
    <w:p w14:paraId="319F610C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Design: </w:t>
      </w:r>
      <w:r>
        <w:rPr>
          <w:rFonts w:ascii="TimesNewRomanPSMT" w:hAnsi="TimesNewRomanPSMT"/>
          <w:color w:val="1E1E1E"/>
        </w:rPr>
        <w:t xml:space="preserve">We conducted a descriptive, retrospective study using information from the ENDOREN database. </w:t>
      </w:r>
    </w:p>
    <w:p w14:paraId="4A5AC899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Setting: </w:t>
      </w:r>
      <w:r>
        <w:rPr>
          <w:rFonts w:ascii="TimesNewRomanPSMT" w:hAnsi="TimesNewRomanPSMT"/>
          <w:color w:val="1E1E1E"/>
        </w:rPr>
        <w:t xml:space="preserve">This was a retrospective study at the Department of Obstetrics and </w:t>
      </w:r>
      <w:proofErr w:type="spellStart"/>
      <w:r>
        <w:rPr>
          <w:rFonts w:ascii="TimesNewRomanPSMT" w:hAnsi="TimesNewRomanPSMT"/>
          <w:color w:val="1E1E1E"/>
        </w:rPr>
        <w:t>Gynecology</w:t>
      </w:r>
      <w:proofErr w:type="spellEnd"/>
      <w:r>
        <w:rPr>
          <w:rFonts w:ascii="TimesNewRomanPSMT" w:hAnsi="TimesNewRomanPSMT"/>
          <w:color w:val="1E1E1E"/>
        </w:rPr>
        <w:t xml:space="preserve"> at Rennes University Hospital (France) from January 2013 to May 2019 PATIENTS AND INTERVENTIONS: We used information from the ENDOREN database that included all women who underwent surgery for deep endometriosis and wish to conceive. This surgery was intended in a view to achieve a complete removal of endometriosis. </w:t>
      </w:r>
    </w:p>
    <w:p w14:paraId="17CE7B1D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Measurements: </w:t>
      </w:r>
      <w:r>
        <w:rPr>
          <w:rFonts w:ascii="TimesNewRomanPSMT" w:hAnsi="TimesNewRomanPSMT"/>
          <w:color w:val="1E1E1E"/>
        </w:rPr>
        <w:t xml:space="preserve">The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score was calculated from preoperative MRI scans, and total, spontaneous, and after In Vitro fertilization (IVF) live births and pregnancies outcomes were </w:t>
      </w:r>
    </w:p>
    <w:p w14:paraId="6755BFBB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MT" w:hAnsi="TimesNewRomanPSMT"/>
          <w:color w:val="1E1E1E"/>
        </w:rPr>
        <w:t xml:space="preserve">collected from the </w:t>
      </w:r>
      <w:proofErr w:type="spellStart"/>
      <w:r>
        <w:rPr>
          <w:rFonts w:ascii="TimesNewRomanPSMT" w:hAnsi="TimesNewRomanPSMT"/>
          <w:color w:val="1E1E1E"/>
        </w:rPr>
        <w:t>patients'computerized</w:t>
      </w:r>
      <w:proofErr w:type="spellEnd"/>
      <w:r>
        <w:rPr>
          <w:rFonts w:ascii="TimesNewRomanPSMT" w:hAnsi="TimesNewRomanPSMT"/>
          <w:color w:val="1E1E1E"/>
        </w:rPr>
        <w:t xml:space="preserve"> medical records. Univariate and multivariate analysis was performed. </w:t>
      </w:r>
    </w:p>
    <w:p w14:paraId="5FA94B9D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Results: </w:t>
      </w:r>
      <w:r>
        <w:rPr>
          <w:rFonts w:ascii="TimesNewRomanPSMT" w:hAnsi="TimesNewRomanPSMT"/>
          <w:color w:val="1E1E1E"/>
        </w:rPr>
        <w:t xml:space="preserve">Sixty-eight patients were included. The live-birth rate was 35% (24/68). According to the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classification, 25 patients (35%) were classified in compartment A, 64 patients (94%) in compartment B, and 27 (40%) in compartment C. In multivariate analysis, positive predictor of live birth was single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B score (OR=4.7[1.21; 18.81], p = 0.03), negative predictors were uterine adenomyosis and a history of endometriosis surgery. In multivariate analysis, positive predictor of spontaneous live birth was EFI score ≥7 (OR =22.434; CI [1.138; 442.190]). In multivariate analysis, positive predictor was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A score (OR=15.9[2.2; 114.7], p = 0.006), and negative predictors was uterine adenomyosis and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B score (OR=0.01[0; 0.495], p = 0.02) for live birth after IVF. </w:t>
      </w:r>
    </w:p>
    <w:p w14:paraId="7CC6A856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t xml:space="preserve">Conclusion: </w:t>
      </w:r>
      <w:r>
        <w:rPr>
          <w:rFonts w:ascii="TimesNewRomanPSMT" w:hAnsi="TimesNewRomanPSMT"/>
          <w:color w:val="1E1E1E"/>
        </w:rPr>
        <w:t xml:space="preserve">The present retrospective study cannot strongly conclude about fertility and correlation with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score because the groups are too small. However, it seems that when solely the compartment B is involved by endometriosis, complete full removal of endometriosis leads to better post-operative live births results. Other studies must be done to determine if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classification based on preoperative pelvic MRI could be clinical value in the decision- making strategy for managing infertile patients with deep pelvic endometriosis. </w:t>
      </w:r>
    </w:p>
    <w:p w14:paraId="6C34F76E" w14:textId="77777777" w:rsidR="00AC2C01" w:rsidRDefault="00AC2C01" w:rsidP="00AC2C01">
      <w:pPr>
        <w:pStyle w:val="NormalWeb"/>
        <w:shd w:val="clear" w:color="auto" w:fill="FFFFFF"/>
      </w:pPr>
      <w:r>
        <w:rPr>
          <w:rFonts w:ascii="TimesNewRomanPS" w:hAnsi="TimesNewRomanPS"/>
          <w:b/>
          <w:bCs/>
          <w:color w:val="1E1E1E"/>
        </w:rPr>
        <w:lastRenderedPageBreak/>
        <w:t xml:space="preserve">Keywords: </w:t>
      </w:r>
      <w:r>
        <w:rPr>
          <w:rFonts w:ascii="TimesNewRomanPSMT" w:hAnsi="TimesNewRomanPSMT"/>
          <w:color w:val="1E1E1E"/>
        </w:rPr>
        <w:t xml:space="preserve">Endometriosis; </w:t>
      </w:r>
      <w:proofErr w:type="spellStart"/>
      <w:r>
        <w:rPr>
          <w:rFonts w:ascii="TimesNewRomanPSMT" w:hAnsi="TimesNewRomanPSMT"/>
          <w:color w:val="1E1E1E"/>
        </w:rPr>
        <w:t>Enzian</w:t>
      </w:r>
      <w:proofErr w:type="spellEnd"/>
      <w:r>
        <w:rPr>
          <w:rFonts w:ascii="TimesNewRomanPSMT" w:hAnsi="TimesNewRomanPSMT"/>
          <w:color w:val="1E1E1E"/>
        </w:rPr>
        <w:t xml:space="preserve"> score; Fertility. </w:t>
      </w:r>
    </w:p>
    <w:p w14:paraId="6A03DBF4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TimesNewRomanPS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01"/>
    <w:rsid w:val="001C7F88"/>
    <w:rsid w:val="00432D50"/>
    <w:rsid w:val="00875F78"/>
    <w:rsid w:val="00A74000"/>
    <w:rsid w:val="00AC2C01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0B4CBF"/>
  <w15:chartTrackingRefBased/>
  <w15:docId w15:val="{E204852A-133C-0545-80B9-E344A1581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C0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6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15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61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8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42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52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54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745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8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208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58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2648</Characters>
  <Application>Microsoft Office Word</Application>
  <DocSecurity>0</DocSecurity>
  <Lines>22</Lines>
  <Paragraphs>6</Paragraphs>
  <ScaleCrop>false</ScaleCrop>
  <Company/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2022-07-30T18:37:00Z</dcterms:created>
  <dcterms:modified xsi:type="dcterms:W3CDTF">2022-07-30T18:37:00Z</dcterms:modified>
</cp:coreProperties>
</file>