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5387B" w14:textId="77777777" w:rsidR="001C736F" w:rsidRDefault="001C736F" w:rsidP="001C736F">
      <w:pPr>
        <w:pStyle w:val="NormalWeb"/>
      </w:pPr>
      <w:r>
        <w:rPr>
          <w:rFonts w:ascii="TimesNewRomanPSMT" w:hAnsi="TimesNewRomanPSMT"/>
        </w:rPr>
        <w:t xml:space="preserve">36) </w:t>
      </w:r>
      <w:r>
        <w:rPr>
          <w:rFonts w:ascii="TimesNewRomanPSMT" w:hAnsi="TimesNewRomanPSMT"/>
          <w:color w:val="0070BA"/>
        </w:rPr>
        <w:t xml:space="preserve">Invariant Natural Killer T-cells and their subtypes may play a role in the pathogenesis of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. </w:t>
      </w:r>
    </w:p>
    <w:p w14:paraId="5DF4C04A" w14:textId="77777777" w:rsidR="001C736F" w:rsidRDefault="001C736F" w:rsidP="001C736F">
      <w:pPr>
        <w:pStyle w:val="NormalWeb"/>
      </w:pPr>
      <w:r>
        <w:rPr>
          <w:rFonts w:ascii="TimesNewRomanPSMT" w:hAnsi="TimesNewRomanPSMT"/>
          <w:color w:val="1E1E1E"/>
        </w:rPr>
        <w:t xml:space="preserve">Correa FJS, Andres MP, Rocha TP, Carvalho AEZ, </w:t>
      </w:r>
      <w:proofErr w:type="spellStart"/>
      <w:r>
        <w:rPr>
          <w:rFonts w:ascii="TimesNewRomanPSMT" w:hAnsi="TimesNewRomanPSMT"/>
          <w:color w:val="1E1E1E"/>
        </w:rPr>
        <w:t>Aloia</w:t>
      </w:r>
      <w:proofErr w:type="spellEnd"/>
      <w:r>
        <w:rPr>
          <w:rFonts w:ascii="TimesNewRomanPSMT" w:hAnsi="TimesNewRomanPSMT"/>
          <w:color w:val="1E1E1E"/>
        </w:rPr>
        <w:t xml:space="preserve"> TPA, </w:t>
      </w:r>
      <w:proofErr w:type="spellStart"/>
      <w:r>
        <w:rPr>
          <w:rFonts w:ascii="TimesNewRomanPSMT" w:hAnsi="TimesNewRomanPSMT"/>
          <w:color w:val="1E1E1E"/>
        </w:rPr>
        <w:t>Corpa</w:t>
      </w:r>
      <w:proofErr w:type="spellEnd"/>
      <w:r>
        <w:rPr>
          <w:rFonts w:ascii="TimesNewRomanPSMT" w:hAnsi="TimesNewRomanPSMT"/>
          <w:color w:val="1E1E1E"/>
        </w:rPr>
        <w:t xml:space="preserve"> MVN, </w:t>
      </w:r>
      <w:proofErr w:type="spellStart"/>
      <w:r>
        <w:rPr>
          <w:rFonts w:ascii="TimesNewRomanPSMT" w:hAnsi="TimesNewRomanPSMT"/>
          <w:color w:val="1E1E1E"/>
        </w:rPr>
        <w:t>Kallas</w:t>
      </w:r>
      <w:proofErr w:type="spellEnd"/>
      <w:r>
        <w:rPr>
          <w:rFonts w:ascii="TimesNewRomanPSMT" w:hAnsi="TimesNewRomanPSMT"/>
          <w:color w:val="1E1E1E"/>
        </w:rPr>
        <w:t xml:space="preserve"> EG, </w:t>
      </w:r>
      <w:proofErr w:type="spellStart"/>
      <w:r>
        <w:rPr>
          <w:rFonts w:ascii="TimesNewRomanPSMT" w:hAnsi="TimesNewRomanPSMT"/>
          <w:color w:val="1E1E1E"/>
        </w:rPr>
        <w:t>Mangueira</w:t>
      </w:r>
      <w:proofErr w:type="spellEnd"/>
      <w:r>
        <w:rPr>
          <w:rFonts w:ascii="TimesNewRomanPSMT" w:hAnsi="TimesNewRomanPSMT"/>
          <w:color w:val="1E1E1E"/>
        </w:rPr>
        <w:t xml:space="preserve"> CLP, </w:t>
      </w:r>
      <w:proofErr w:type="spellStart"/>
      <w:r>
        <w:rPr>
          <w:rFonts w:ascii="TimesNewRomanPSMT" w:hAnsi="TimesNewRomanPSMT"/>
          <w:color w:val="1E1E1E"/>
        </w:rPr>
        <w:t>Baracat</w:t>
      </w:r>
      <w:proofErr w:type="spellEnd"/>
      <w:r>
        <w:rPr>
          <w:rFonts w:ascii="TimesNewRomanPSMT" w:hAnsi="TimesNewRomanPSMT"/>
          <w:color w:val="1E1E1E"/>
        </w:rPr>
        <w:t xml:space="preserve"> EC, Carvalho KI, </w:t>
      </w:r>
      <w:proofErr w:type="spellStart"/>
      <w:r>
        <w:rPr>
          <w:rFonts w:ascii="TimesNewRomanPSMT" w:hAnsi="TimesNewRomanPSMT"/>
          <w:color w:val="1E1E1E"/>
        </w:rPr>
        <w:t>Abrão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proofErr w:type="gramStart"/>
      <w:r>
        <w:rPr>
          <w:rFonts w:ascii="TimesNewRomanPSMT" w:hAnsi="TimesNewRomanPSMT"/>
          <w:color w:val="1E1E1E"/>
        </w:rPr>
        <w:t>MS.</w:t>
      </w:r>
      <w:r>
        <w:rPr>
          <w:rFonts w:ascii="TimesNewRomanPSMT" w:hAnsi="TimesNewRomanPSMT"/>
          <w:color w:val="4C7F54"/>
        </w:rPr>
        <w:t>Clinics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(Sao Paulo). 2022 May </w:t>
      </w:r>
      <w:proofErr w:type="gramStart"/>
      <w:r>
        <w:rPr>
          <w:rFonts w:ascii="TimesNewRomanPSMT" w:hAnsi="TimesNewRomanPSMT"/>
          <w:color w:val="4C7F54"/>
        </w:rPr>
        <w:t>13;77:100032</w:t>
      </w:r>
      <w:proofErr w:type="gramEnd"/>
      <w:r>
        <w:rPr>
          <w:rFonts w:ascii="TimesNewRomanPSMT" w:hAnsi="TimesNewRomanPSMT"/>
          <w:color w:val="4C7F54"/>
        </w:rPr>
        <w:t xml:space="preserve">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10.1016/j.clinsp.2022.100032. </w:t>
      </w:r>
      <w:proofErr w:type="spellStart"/>
      <w:r>
        <w:rPr>
          <w:rFonts w:ascii="TimesNewRomanPSMT" w:hAnsi="TimesNewRomanPSMT"/>
          <w:color w:val="4C7F54"/>
        </w:rPr>
        <w:t>eCollection</w:t>
      </w:r>
      <w:proofErr w:type="spellEnd"/>
      <w:r>
        <w:rPr>
          <w:rFonts w:ascii="TimesNewRomanPSMT" w:hAnsi="TimesNewRomanPSMT"/>
          <w:color w:val="4C7F54"/>
        </w:rPr>
        <w:t xml:space="preserve"> 2022.PMID: 35576870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1181CF98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>Abstract</w:t>
      </w:r>
      <w:r>
        <w:rPr>
          <w:rFonts w:ascii="TimesNewRomanPS" w:hAnsi="TimesNewRomanPS"/>
          <w:b/>
          <w:bCs/>
          <w:color w:val="1E1E1E"/>
        </w:rPr>
        <w:br/>
        <w:t xml:space="preserve">Objective: </w:t>
      </w:r>
      <w:r>
        <w:rPr>
          <w:rFonts w:ascii="TimesNewRomanPSMT" w:hAnsi="TimesNewRomanPSMT"/>
          <w:color w:val="1E1E1E"/>
        </w:rPr>
        <w:t xml:space="preserve">To evaluate the frequencies of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and their subsets in patients with deep </w:t>
      </w:r>
    </w:p>
    <w:p w14:paraId="3C05C599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endometriosis. </w:t>
      </w:r>
    </w:p>
    <w:p w14:paraId="447A4E15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A case-control study was conducted between 2013 and 2015, with 73 patients distributed into two groups: 47 women with a histological diagnosis of endometriosis and 26 controls. Peripheral blood, endometriosis lesions, and healthy peritoneal samples were collected on the day of surgery to determine the frequencies of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and subtypes via flow cytometry analysis. </w:t>
      </w:r>
    </w:p>
    <w:p w14:paraId="23124AC1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The authors observed a lower number of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(p = 0.01) and Double-Negative (DN)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(p = 0.02) in the blood of patients with endometriosis than in the control group. The number of DN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IL-17</w:t>
      </w:r>
      <w:r>
        <w:rPr>
          <w:rFonts w:ascii="TimesNewRomanPSMT" w:hAnsi="TimesNewRomanPSMT"/>
          <w:color w:val="1E1E1E"/>
          <w:position w:val="8"/>
          <w:sz w:val="16"/>
          <w:szCs w:val="16"/>
        </w:rPr>
        <w:t xml:space="preserve">+ </w:t>
      </w:r>
      <w:r>
        <w:rPr>
          <w:rFonts w:ascii="TimesNewRomanPSMT" w:hAnsi="TimesNewRomanPSMT"/>
          <w:color w:val="1E1E1E"/>
        </w:rPr>
        <w:t>cells in the secretory phase was lower in the endometriosis group (p = 0.049). There was an increase in the secretion of IL-17 by CD4</w:t>
      </w:r>
      <w:r>
        <w:rPr>
          <w:rFonts w:ascii="TimesNewRomanPSMT" w:hAnsi="TimesNewRomanPSMT"/>
          <w:color w:val="1E1E1E"/>
          <w:position w:val="8"/>
          <w:sz w:val="16"/>
          <w:szCs w:val="16"/>
        </w:rPr>
        <w:t xml:space="preserve">+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in the blood of patients with endometriosis and severe dysmenorrhea (p = 0.038), and severe acyclic pelvic pain (p = 0.048). Patients with severe dysmenorrhea also had </w:t>
      </w:r>
      <w:proofErr w:type="gramStart"/>
      <w:r>
        <w:rPr>
          <w:rFonts w:ascii="TimesNewRomanPSMT" w:hAnsi="TimesNewRomanPSMT"/>
          <w:color w:val="1E1E1E"/>
        </w:rPr>
        <w:t>a decreased number of</w:t>
      </w:r>
      <w:proofErr w:type="gramEnd"/>
      <w:r>
        <w:rPr>
          <w:rFonts w:ascii="TimesNewRomanPSMT" w:hAnsi="TimesNewRomanPSMT"/>
          <w:color w:val="1E1E1E"/>
        </w:rPr>
        <w:t xml:space="preserve"> </w:t>
      </w:r>
    </w:p>
    <w:p w14:paraId="0FCAA0C3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>CD4</w:t>
      </w:r>
      <w:r>
        <w:rPr>
          <w:rFonts w:ascii="TimesNewRomanPSMT" w:hAnsi="TimesNewRomanPSMT"/>
          <w:color w:val="1E1E1E"/>
          <w:position w:val="8"/>
          <w:sz w:val="16"/>
          <w:szCs w:val="16"/>
        </w:rPr>
        <w:t xml:space="preserve">+ </w:t>
      </w:r>
      <w:r>
        <w:rPr>
          <w:rFonts w:ascii="TimesNewRomanPSMT" w:hAnsi="TimesNewRomanPSMT"/>
          <w:color w:val="1E1E1E"/>
        </w:rPr>
        <w:t>CCR7</w:t>
      </w:r>
      <w:r>
        <w:rPr>
          <w:rFonts w:ascii="TimesNewRomanPSMT" w:hAnsi="TimesNewRomanPSMT"/>
          <w:color w:val="1E1E1E"/>
          <w:position w:val="8"/>
          <w:sz w:val="16"/>
          <w:szCs w:val="16"/>
        </w:rPr>
        <w:t xml:space="preserve">+ </w:t>
      </w:r>
      <w:r>
        <w:rPr>
          <w:rFonts w:ascii="TimesNewRomanPSMT" w:hAnsi="TimesNewRomanPSMT"/>
          <w:color w:val="1E1E1E"/>
        </w:rPr>
        <w:t xml:space="preserve">cells (p = 0.022). </w:t>
      </w:r>
    </w:p>
    <w:p w14:paraId="6B8619BA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The decreased number of total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and DN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in patients with endometriosis suggests that </w:t>
      </w:r>
      <w:proofErr w:type="spellStart"/>
      <w:r>
        <w:rPr>
          <w:rFonts w:ascii="TimesNewRomanPSMT" w:hAnsi="TimesNewRomanPSMT"/>
          <w:color w:val="1E1E1E"/>
        </w:rPr>
        <w:t>iNKT</w:t>
      </w:r>
      <w:proofErr w:type="spellEnd"/>
      <w:r>
        <w:rPr>
          <w:rFonts w:ascii="TimesNewRomanPSMT" w:hAnsi="TimesNewRomanPSMT"/>
          <w:color w:val="1E1E1E"/>
        </w:rPr>
        <w:t xml:space="preserve"> cells play a role in the pathogenesis of endometriosis and can be used to develop new diagnostic and therapeutic agents. </w:t>
      </w:r>
    </w:p>
    <w:p w14:paraId="1295D9F4" w14:textId="77777777" w:rsidR="001C736F" w:rsidRDefault="001C736F" w:rsidP="001C736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Confocal microscopy; Cytokines; Deep endometriosis; Flow cytometry; Invariant natural Killer T-cells. </w:t>
      </w:r>
    </w:p>
    <w:p w14:paraId="3CC45AD2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36F"/>
    <w:rsid w:val="001C736F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95306B"/>
  <w15:chartTrackingRefBased/>
  <w15:docId w15:val="{49F474A2-3E07-D447-B829-F2E30AC2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73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8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8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2022-07-30T18:39:00Z</dcterms:created>
  <dcterms:modified xsi:type="dcterms:W3CDTF">2022-07-30T18:39:00Z</dcterms:modified>
</cp:coreProperties>
</file>