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B26E2" w14:textId="77777777" w:rsidR="00C0541C" w:rsidRDefault="00C0541C" w:rsidP="00C0541C">
      <w:pPr>
        <w:pStyle w:val="NormalWeb"/>
      </w:pPr>
      <w:r>
        <w:rPr>
          <w:rFonts w:ascii="TimesNewRomanPSMT" w:hAnsi="TimesNewRomanPSMT"/>
        </w:rPr>
        <w:t xml:space="preserve">38) </w:t>
      </w:r>
      <w:r>
        <w:rPr>
          <w:rFonts w:ascii="TimesNewRomanPSMT" w:hAnsi="TimesNewRomanPSMT"/>
          <w:color w:val="0070BA"/>
        </w:rPr>
        <w:t xml:space="preserve">International and </w:t>
      </w:r>
      <w:proofErr w:type="spellStart"/>
      <w:r>
        <w:rPr>
          <w:rFonts w:ascii="TimesNewRomanPSMT" w:hAnsi="TimesNewRomanPSMT"/>
          <w:color w:val="0070BA"/>
        </w:rPr>
        <w:t>multicenter</w:t>
      </w:r>
      <w:proofErr w:type="spellEnd"/>
      <w:r>
        <w:rPr>
          <w:rFonts w:ascii="TimesNewRomanPSMT" w:hAnsi="TimesNewRomanPSMT"/>
          <w:color w:val="0070BA"/>
        </w:rPr>
        <w:t xml:space="preserve"> prospective diagnostic accuracy of transvaginal ultrasound for </w:t>
      </w:r>
      <w:r>
        <w:rPr>
          <w:rFonts w:ascii="TimesNewRomanPS" w:hAnsi="TimesNewRomanPS"/>
          <w:b/>
          <w:bCs/>
          <w:color w:val="0070BA"/>
        </w:rPr>
        <w:t xml:space="preserve">endometriosis </w:t>
      </w:r>
      <w:r>
        <w:rPr>
          <w:rFonts w:ascii="TimesNewRomanPSMT" w:hAnsi="TimesNewRomanPSMT"/>
          <w:color w:val="0070BA"/>
        </w:rPr>
        <w:t xml:space="preserve">using the International Deep </w:t>
      </w:r>
      <w:r>
        <w:rPr>
          <w:rFonts w:ascii="TimesNewRomanPS" w:hAnsi="TimesNewRomanPS"/>
          <w:b/>
          <w:bCs/>
          <w:color w:val="0070BA"/>
        </w:rPr>
        <w:t xml:space="preserve">Endometriosis </w:t>
      </w:r>
      <w:r>
        <w:rPr>
          <w:rFonts w:ascii="TimesNewRomanPSMT" w:hAnsi="TimesNewRomanPSMT"/>
          <w:color w:val="0070BA"/>
        </w:rPr>
        <w:t xml:space="preserve">Analysis (IDEA) terminology: pilot study. </w:t>
      </w:r>
    </w:p>
    <w:p w14:paraId="4C1F82A5" w14:textId="77777777" w:rsidR="00C0541C" w:rsidRDefault="00C0541C" w:rsidP="00C0541C">
      <w:pPr>
        <w:pStyle w:val="NormalWeb"/>
      </w:pPr>
      <w:r>
        <w:rPr>
          <w:rFonts w:ascii="TimesNewRomanPSMT" w:hAnsi="TimesNewRomanPSMT"/>
          <w:color w:val="1E1E1E"/>
        </w:rPr>
        <w:t xml:space="preserve">Leonardi M, </w:t>
      </w:r>
      <w:proofErr w:type="spellStart"/>
      <w:r>
        <w:rPr>
          <w:rFonts w:ascii="TimesNewRomanPSMT" w:hAnsi="TimesNewRomanPSMT"/>
          <w:color w:val="1E1E1E"/>
        </w:rPr>
        <w:t>Uzuner</w:t>
      </w:r>
      <w:proofErr w:type="spellEnd"/>
      <w:r>
        <w:rPr>
          <w:rFonts w:ascii="TimesNewRomanPSMT" w:hAnsi="TimesNewRomanPSMT"/>
          <w:color w:val="1E1E1E"/>
        </w:rPr>
        <w:t xml:space="preserve"> C, </w:t>
      </w:r>
      <w:proofErr w:type="spellStart"/>
      <w:r>
        <w:rPr>
          <w:rFonts w:ascii="TimesNewRomanPSMT" w:hAnsi="TimesNewRomanPSMT"/>
          <w:color w:val="1E1E1E"/>
        </w:rPr>
        <w:t>Mestdagh</w:t>
      </w:r>
      <w:proofErr w:type="spellEnd"/>
      <w:r>
        <w:rPr>
          <w:rFonts w:ascii="TimesNewRomanPSMT" w:hAnsi="TimesNewRomanPSMT"/>
          <w:color w:val="1E1E1E"/>
        </w:rPr>
        <w:t xml:space="preserve"> W, Lu C, Guerriero S, </w:t>
      </w:r>
      <w:proofErr w:type="spellStart"/>
      <w:r>
        <w:rPr>
          <w:rFonts w:ascii="TimesNewRomanPSMT" w:hAnsi="TimesNewRomanPSMT"/>
          <w:color w:val="1E1E1E"/>
        </w:rPr>
        <w:t>Zajicek</w:t>
      </w:r>
      <w:proofErr w:type="spellEnd"/>
      <w:r>
        <w:rPr>
          <w:rFonts w:ascii="TimesNewRomanPSMT" w:hAnsi="TimesNewRomanPSMT"/>
          <w:color w:val="1E1E1E"/>
        </w:rPr>
        <w:t xml:space="preserve"> M, </w:t>
      </w:r>
      <w:proofErr w:type="spellStart"/>
      <w:r>
        <w:rPr>
          <w:rFonts w:ascii="TimesNewRomanPSMT" w:hAnsi="TimesNewRomanPSMT"/>
          <w:color w:val="1E1E1E"/>
        </w:rPr>
        <w:t>Dueckelmann</w:t>
      </w:r>
      <w:proofErr w:type="spellEnd"/>
      <w:r>
        <w:rPr>
          <w:rFonts w:ascii="TimesNewRomanPSMT" w:hAnsi="TimesNewRomanPSMT"/>
          <w:color w:val="1E1E1E"/>
        </w:rPr>
        <w:t xml:space="preserve"> A, </w:t>
      </w:r>
      <w:proofErr w:type="spellStart"/>
      <w:r>
        <w:rPr>
          <w:rFonts w:ascii="TimesNewRomanPSMT" w:hAnsi="TimesNewRomanPSMT"/>
          <w:color w:val="1E1E1E"/>
        </w:rPr>
        <w:t>Filippi</w:t>
      </w:r>
      <w:proofErr w:type="spellEnd"/>
      <w:r>
        <w:rPr>
          <w:rFonts w:ascii="TimesNewRomanPSMT" w:hAnsi="TimesNewRomanPSMT"/>
          <w:color w:val="1E1E1E"/>
        </w:rPr>
        <w:t xml:space="preserve"> F, </w:t>
      </w:r>
      <w:proofErr w:type="spellStart"/>
      <w:r>
        <w:rPr>
          <w:rFonts w:ascii="TimesNewRomanPSMT" w:hAnsi="TimesNewRomanPSMT"/>
          <w:color w:val="1E1E1E"/>
        </w:rPr>
        <w:t>Buonomo</w:t>
      </w:r>
      <w:proofErr w:type="spellEnd"/>
      <w:r>
        <w:rPr>
          <w:rFonts w:ascii="TimesNewRomanPSMT" w:hAnsi="TimesNewRomanPSMT"/>
          <w:color w:val="1E1E1E"/>
        </w:rPr>
        <w:t xml:space="preserve"> F, Pascual MA, </w:t>
      </w:r>
      <w:proofErr w:type="spellStart"/>
      <w:r>
        <w:rPr>
          <w:rFonts w:ascii="TimesNewRomanPSMT" w:hAnsi="TimesNewRomanPSMT"/>
          <w:color w:val="1E1E1E"/>
        </w:rPr>
        <w:t>Stepniewska</w:t>
      </w:r>
      <w:proofErr w:type="spellEnd"/>
      <w:r>
        <w:rPr>
          <w:rFonts w:ascii="TimesNewRomanPSMT" w:hAnsi="TimesNewRomanPSMT"/>
          <w:color w:val="1E1E1E"/>
        </w:rPr>
        <w:t xml:space="preserve"> A, </w:t>
      </w:r>
      <w:proofErr w:type="spellStart"/>
      <w:r>
        <w:rPr>
          <w:rFonts w:ascii="TimesNewRomanPSMT" w:hAnsi="TimesNewRomanPSMT"/>
          <w:color w:val="1E1E1E"/>
        </w:rPr>
        <w:t>Ceccaroni</w:t>
      </w:r>
      <w:proofErr w:type="spellEnd"/>
      <w:r>
        <w:rPr>
          <w:rFonts w:ascii="TimesNewRomanPSMT" w:hAnsi="TimesNewRomanPSMT"/>
          <w:color w:val="1E1E1E"/>
        </w:rPr>
        <w:t xml:space="preserve"> M, Van den Bosch T, Timmerman D, </w:t>
      </w:r>
      <w:proofErr w:type="spellStart"/>
      <w:r>
        <w:rPr>
          <w:rFonts w:ascii="TimesNewRomanPSMT" w:hAnsi="TimesNewRomanPSMT"/>
          <w:color w:val="1E1E1E"/>
        </w:rPr>
        <w:t>Hudelist</w:t>
      </w:r>
      <w:proofErr w:type="spellEnd"/>
      <w:r>
        <w:rPr>
          <w:rFonts w:ascii="TimesNewRomanPSMT" w:hAnsi="TimesNewRomanPSMT"/>
          <w:color w:val="1E1E1E"/>
        </w:rPr>
        <w:t xml:space="preserve"> G, </w:t>
      </w:r>
      <w:proofErr w:type="spellStart"/>
      <w:r>
        <w:rPr>
          <w:rFonts w:ascii="TimesNewRomanPSMT" w:hAnsi="TimesNewRomanPSMT"/>
          <w:color w:val="1E1E1E"/>
        </w:rPr>
        <w:t>Condous</w:t>
      </w:r>
      <w:proofErr w:type="spellEnd"/>
      <w:r>
        <w:rPr>
          <w:rFonts w:ascii="TimesNewRomanPSMT" w:hAnsi="TimesNewRomanPSMT"/>
          <w:color w:val="1E1E1E"/>
        </w:rPr>
        <w:t xml:space="preserve"> </w:t>
      </w:r>
      <w:proofErr w:type="spellStart"/>
      <w:proofErr w:type="gramStart"/>
      <w:r>
        <w:rPr>
          <w:rFonts w:ascii="TimesNewRomanPSMT" w:hAnsi="TimesNewRomanPSMT"/>
          <w:color w:val="1E1E1E"/>
        </w:rPr>
        <w:t>G.</w:t>
      </w:r>
      <w:r>
        <w:rPr>
          <w:rFonts w:ascii="TimesNewRomanPSMT" w:hAnsi="TimesNewRomanPSMT"/>
          <w:color w:val="4C7F54"/>
        </w:rPr>
        <w:t>Ultrasound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 </w:t>
      </w:r>
      <w:proofErr w:type="spellStart"/>
      <w:r>
        <w:rPr>
          <w:rFonts w:ascii="TimesNewRomanPSMT" w:hAnsi="TimesNewRomanPSMT"/>
          <w:color w:val="4C7F54"/>
        </w:rPr>
        <w:t>Obstet</w:t>
      </w:r>
      <w:proofErr w:type="spellEnd"/>
      <w:r>
        <w:rPr>
          <w:rFonts w:ascii="TimesNewRomanPSMT" w:hAnsi="TimesNewRomanPSMT"/>
          <w:color w:val="4C7F54"/>
        </w:rPr>
        <w:t xml:space="preserve"> Gynecol. 2022 May 13. </w:t>
      </w:r>
      <w:proofErr w:type="spellStart"/>
      <w:r>
        <w:rPr>
          <w:rFonts w:ascii="TimesNewRomanPSMT" w:hAnsi="TimesNewRomanPSMT"/>
          <w:color w:val="4C7F54"/>
        </w:rPr>
        <w:t>doi</w:t>
      </w:r>
      <w:proofErr w:type="spellEnd"/>
      <w:r>
        <w:rPr>
          <w:rFonts w:ascii="TimesNewRomanPSMT" w:hAnsi="TimesNewRomanPSMT"/>
          <w:color w:val="4C7F54"/>
        </w:rPr>
        <w:t xml:space="preserve">: 10.1002/uog.24936. Online ahead of </w:t>
      </w:r>
      <w:proofErr w:type="spellStart"/>
      <w:proofErr w:type="gramStart"/>
      <w:r>
        <w:rPr>
          <w:rFonts w:ascii="TimesNewRomanPSMT" w:hAnsi="TimesNewRomanPSMT"/>
          <w:color w:val="4C7F54"/>
        </w:rPr>
        <w:t>print.PMID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: 35561121 </w:t>
      </w:r>
    </w:p>
    <w:p w14:paraId="6FE3C5E9" w14:textId="77777777" w:rsidR="00C0541C" w:rsidRDefault="00C0541C" w:rsidP="00C0541C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Abstract </w:t>
      </w:r>
    </w:p>
    <w:p w14:paraId="102C70E9" w14:textId="77777777" w:rsidR="00C0541C" w:rsidRDefault="00C0541C" w:rsidP="00C0541C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Objectives: </w:t>
      </w:r>
      <w:r>
        <w:rPr>
          <w:rFonts w:ascii="TimesNewRomanPSMT" w:hAnsi="TimesNewRomanPSMT"/>
          <w:color w:val="1E1E1E"/>
        </w:rPr>
        <w:t xml:space="preserve">To evaluate the diagnostic accuracy of transvaginal ultrasound (TVS) to predict ovarian endometriomas (OE), overall deep endometriosis (DE), and DE locations by following the International Deep Endometriosis Analysis (IDEA) consensus statement. </w:t>
      </w:r>
    </w:p>
    <w:p w14:paraId="13F45877" w14:textId="77777777" w:rsidR="00C0541C" w:rsidRDefault="00C0541C" w:rsidP="00C0541C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Methods: </w:t>
      </w:r>
      <w:r>
        <w:rPr>
          <w:rFonts w:ascii="TimesNewRomanPSMT" w:hAnsi="TimesNewRomanPSMT"/>
          <w:color w:val="1E1E1E"/>
        </w:rPr>
        <w:t xml:space="preserve">This was an international, </w:t>
      </w:r>
      <w:proofErr w:type="spellStart"/>
      <w:r>
        <w:rPr>
          <w:rFonts w:ascii="TimesNewRomanPSMT" w:hAnsi="TimesNewRomanPSMT"/>
          <w:color w:val="1E1E1E"/>
        </w:rPr>
        <w:t>multicenter</w:t>
      </w:r>
      <w:proofErr w:type="spellEnd"/>
      <w:r>
        <w:rPr>
          <w:rFonts w:ascii="TimesNewRomanPSMT" w:hAnsi="TimesNewRomanPSMT"/>
          <w:color w:val="1E1E1E"/>
        </w:rPr>
        <w:t xml:space="preserve"> prospective diagnostic accuracy study involving eight </w:t>
      </w:r>
      <w:proofErr w:type="spellStart"/>
      <w:r>
        <w:rPr>
          <w:rFonts w:ascii="TimesNewRomanPSMT" w:hAnsi="TimesNewRomanPSMT"/>
          <w:color w:val="1E1E1E"/>
        </w:rPr>
        <w:t>centers</w:t>
      </w:r>
      <w:proofErr w:type="spellEnd"/>
      <w:r>
        <w:rPr>
          <w:rFonts w:ascii="TimesNewRomanPSMT" w:hAnsi="TimesNewRomanPSMT"/>
          <w:color w:val="1E1E1E"/>
        </w:rPr>
        <w:t xml:space="preserve"> across six countries (August 2018-November 2019). Consecutive participants were enrolled. Only participants with suspected endometriosis based on clinical symptoms or historical diagnosis of endometriosis were included. The index test was TVS performed pre- operatively in accordance with the IDEA consensus statement. At each </w:t>
      </w:r>
      <w:proofErr w:type="spellStart"/>
      <w:r>
        <w:rPr>
          <w:rFonts w:ascii="TimesNewRomanPSMT" w:hAnsi="TimesNewRomanPSMT"/>
          <w:color w:val="1E1E1E"/>
        </w:rPr>
        <w:t>center</w:t>
      </w:r>
      <w:proofErr w:type="spellEnd"/>
      <w:r>
        <w:rPr>
          <w:rFonts w:ascii="TimesNewRomanPSMT" w:hAnsi="TimesNewRomanPSMT"/>
          <w:color w:val="1E1E1E"/>
        </w:rPr>
        <w:t>, the index test was interpreted by a single sonologist. The reference standards used were 1) direct visualization of endometriosis at laparoscopy as determined by a non-blinded surgeon with expertise in endometriosis surgery and 2) histological assessment of biopsied/excised tissue. All surgeries were performed within 12 months of the index test TVS. Accuracy (</w:t>
      </w:r>
      <w:proofErr w:type="spellStart"/>
      <w:r>
        <w:rPr>
          <w:rFonts w:ascii="TimesNewRomanPSMT" w:hAnsi="TimesNewRomanPSMT"/>
          <w:color w:val="1E1E1E"/>
        </w:rPr>
        <w:t>Acc</w:t>
      </w:r>
      <w:proofErr w:type="spellEnd"/>
      <w:r>
        <w:rPr>
          <w:rFonts w:ascii="TimesNewRomanPSMT" w:hAnsi="TimesNewRomanPSMT"/>
          <w:color w:val="1E1E1E"/>
        </w:rPr>
        <w:t xml:space="preserve">), sensitivity (Sens), </w:t>
      </w:r>
    </w:p>
    <w:p w14:paraId="1FF27B17" w14:textId="77777777" w:rsidR="00C0541C" w:rsidRDefault="00C0541C" w:rsidP="00C0541C">
      <w:pPr>
        <w:pStyle w:val="NormalWeb"/>
        <w:shd w:val="clear" w:color="auto" w:fill="FFFFFF"/>
      </w:pPr>
      <w:r>
        <w:rPr>
          <w:rFonts w:ascii="TimesNewRomanPSMT" w:hAnsi="TimesNewRomanPSMT"/>
          <w:color w:val="1E1E1E"/>
        </w:rPr>
        <w:t xml:space="preserve">specificity (Spec), positive and negative predictive values (PPV/NPV), and positive and negative likelihood ratios (LR+/LR-) of TVS were measured. </w:t>
      </w:r>
    </w:p>
    <w:p w14:paraId="3468DB20" w14:textId="77777777" w:rsidR="00C0541C" w:rsidRDefault="00C0541C" w:rsidP="00C0541C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Results: </w:t>
      </w:r>
      <w:r>
        <w:rPr>
          <w:rFonts w:ascii="TimesNewRomanPSMT" w:hAnsi="TimesNewRomanPSMT"/>
          <w:color w:val="1E1E1E"/>
        </w:rPr>
        <w:t xml:space="preserve">273 participants were included in the study with complete clinical, TVS, laparoscopic, and histological data. 256/273 (93.8%) participants were confirmed to have endometriosis histologically. Based on surgical visualization, 139/273 (50.9%) had an OE and 207/273 (75.8%) had DE. 190/273 (69.6%) had DE confirmed histologically. For overall DE, diagnostic performance of TVS based on surgical visualization as a reference was as follows: </w:t>
      </w:r>
      <w:proofErr w:type="spellStart"/>
      <w:r>
        <w:rPr>
          <w:rFonts w:ascii="TimesNewRomanPSMT" w:hAnsi="TimesNewRomanPSMT"/>
          <w:color w:val="1E1E1E"/>
        </w:rPr>
        <w:t>Acc</w:t>
      </w:r>
      <w:proofErr w:type="spellEnd"/>
      <w:r>
        <w:rPr>
          <w:rFonts w:ascii="TimesNewRomanPSMT" w:hAnsi="TimesNewRomanPSMT"/>
          <w:color w:val="1E1E1E"/>
        </w:rPr>
        <w:t xml:space="preserve"> 86.1%; Sens 88.4%; Spec 78.8%; PPV 92.9%; NPV 68.4%; LR+ 4.17; LR- 0.15. Diagnostic performance of TVS based on histology as a reference standard was as follows: </w:t>
      </w:r>
      <w:proofErr w:type="spellStart"/>
      <w:r>
        <w:rPr>
          <w:rFonts w:ascii="TimesNewRomanPSMT" w:hAnsi="TimesNewRomanPSMT"/>
          <w:color w:val="1E1E1E"/>
        </w:rPr>
        <w:t>Acc</w:t>
      </w:r>
      <w:proofErr w:type="spellEnd"/>
      <w:r>
        <w:rPr>
          <w:rFonts w:ascii="TimesNewRomanPSMT" w:hAnsi="TimesNewRomanPSMT"/>
          <w:color w:val="1E1E1E"/>
        </w:rPr>
        <w:t xml:space="preserve"> 85.9%; Sens 89.8%; Spec 75.9%; PPV 90.4%; NPV 74.6%; LR+ 3.71; LR- 0.14. </w:t>
      </w:r>
    </w:p>
    <w:p w14:paraId="35AB3630" w14:textId="77777777" w:rsidR="00C0541C" w:rsidRDefault="00C0541C" w:rsidP="00C0541C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Conclusion: </w:t>
      </w:r>
      <w:r>
        <w:rPr>
          <w:rFonts w:ascii="TimesNewRomanPSMT" w:hAnsi="TimesNewRomanPSMT"/>
          <w:color w:val="1E1E1E"/>
        </w:rPr>
        <w:t xml:space="preserve">A systematic approach to DE TVS is paramount, and the IDEA consensus approach allows for strong diagnostic accuracy. This study has found a higher TVS detection rate of overall DE than reported by the most recent meta-analysis on the topic (sensitivity 79%) but a lower specificity. This article is protected by copyright. All rights reserved. </w:t>
      </w:r>
    </w:p>
    <w:p w14:paraId="044AA7EF" w14:textId="77777777" w:rsidR="00C0541C" w:rsidRDefault="00C0541C" w:rsidP="00C0541C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Keywords: </w:t>
      </w:r>
      <w:r>
        <w:rPr>
          <w:rFonts w:ascii="TimesNewRomanPSMT" w:hAnsi="TimesNewRomanPSMT"/>
          <w:color w:val="1E1E1E"/>
        </w:rPr>
        <w:t xml:space="preserve">diagnostic accuracy; endometriosis; pelvic pain; sliding sign; transvaginal ultrasound. </w:t>
      </w:r>
    </w:p>
    <w:p w14:paraId="6FCE1B04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41C"/>
    <w:rsid w:val="001C7F88"/>
    <w:rsid w:val="00432D50"/>
    <w:rsid w:val="00875F78"/>
    <w:rsid w:val="00A74000"/>
    <w:rsid w:val="00B02158"/>
    <w:rsid w:val="00BE7B39"/>
    <w:rsid w:val="00C0541C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D13AC1"/>
  <w15:chartTrackingRefBased/>
  <w15:docId w15:val="{E4699F7F-B0E0-184B-87D4-D9224AF72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0541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23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9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664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61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51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617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8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22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040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2022-07-30T18:40:00Z</dcterms:created>
  <dcterms:modified xsi:type="dcterms:W3CDTF">2022-07-30T18:40:00Z</dcterms:modified>
</cp:coreProperties>
</file>