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E2FE" w14:textId="77777777" w:rsidR="00AC2BA1" w:rsidRDefault="00AC2BA1" w:rsidP="00AC2BA1">
      <w:pPr>
        <w:pStyle w:val="NormalWeb"/>
      </w:pPr>
      <w:r>
        <w:rPr>
          <w:rFonts w:ascii="TimesNewRomanPSMT" w:hAnsi="TimesNewRomanPSMT"/>
        </w:rPr>
        <w:t xml:space="preserve">40) </w:t>
      </w:r>
      <w:r>
        <w:rPr>
          <w:rFonts w:ascii="TimesNewRomanPSMT" w:hAnsi="TimesNewRomanPSMT"/>
          <w:color w:val="0070BA"/>
        </w:rPr>
        <w:t xml:space="preserve">The Comparison of Three Predictive Indexes to Discriminate Malignant Ovarian </w:t>
      </w:r>
      <w:proofErr w:type="spellStart"/>
      <w:r>
        <w:rPr>
          <w:rFonts w:ascii="TimesNewRomanPSMT" w:hAnsi="TimesNewRomanPSMT"/>
          <w:color w:val="0070BA"/>
        </w:rPr>
        <w:t>Tumors</w:t>
      </w:r>
      <w:proofErr w:type="spellEnd"/>
      <w:r>
        <w:rPr>
          <w:rFonts w:ascii="TimesNewRomanPSMT" w:hAnsi="TimesNewRomanPSMT"/>
          <w:color w:val="0070BA"/>
        </w:rPr>
        <w:t xml:space="preserve"> from Benign Ovarian Endometrioma: The Characteristics and Efficacy. </w:t>
      </w:r>
    </w:p>
    <w:p w14:paraId="27511FB0" w14:textId="77777777" w:rsidR="00AC2BA1" w:rsidRDefault="00AC2BA1" w:rsidP="00AC2BA1">
      <w:pPr>
        <w:pStyle w:val="NormalWeb"/>
      </w:pPr>
      <w:r>
        <w:rPr>
          <w:rFonts w:ascii="TimesNewRomanPSMT" w:hAnsi="TimesNewRomanPSMT"/>
          <w:color w:val="1E1E1E"/>
        </w:rPr>
        <w:t xml:space="preserve">Yamanaka S, Kawahara N, Kawaguchi R, </w:t>
      </w:r>
      <w:proofErr w:type="spellStart"/>
      <w:r>
        <w:rPr>
          <w:rFonts w:ascii="TimesNewRomanPSMT" w:hAnsi="TimesNewRomanPSMT"/>
          <w:color w:val="1E1E1E"/>
        </w:rPr>
        <w:t>Waki</w:t>
      </w:r>
      <w:proofErr w:type="spellEnd"/>
      <w:r>
        <w:rPr>
          <w:rFonts w:ascii="TimesNewRomanPSMT" w:hAnsi="TimesNewRomanPSMT"/>
          <w:color w:val="1E1E1E"/>
        </w:rPr>
        <w:t xml:space="preserve"> K, </w:t>
      </w:r>
      <w:proofErr w:type="spellStart"/>
      <w:r>
        <w:rPr>
          <w:rFonts w:ascii="TimesNewRomanPSMT" w:hAnsi="TimesNewRomanPSMT"/>
          <w:color w:val="1E1E1E"/>
        </w:rPr>
        <w:t>Maehana</w:t>
      </w:r>
      <w:proofErr w:type="spellEnd"/>
      <w:r>
        <w:rPr>
          <w:rFonts w:ascii="TimesNewRomanPSMT" w:hAnsi="TimesNewRomanPSMT"/>
          <w:color w:val="1E1E1E"/>
        </w:rPr>
        <w:t xml:space="preserve"> T, Fukui Y, Miyake R, Yamada Y, Kobayashi H, Kimura </w:t>
      </w:r>
      <w:proofErr w:type="spellStart"/>
      <w:proofErr w:type="gramStart"/>
      <w:r>
        <w:rPr>
          <w:rFonts w:ascii="TimesNewRomanPSMT" w:hAnsi="TimesNewRomanPSMT"/>
          <w:color w:val="1E1E1E"/>
        </w:rPr>
        <w:t>F.</w:t>
      </w:r>
      <w:r>
        <w:rPr>
          <w:rFonts w:ascii="TimesNewRomanPSMT" w:hAnsi="TimesNewRomanPSMT"/>
          <w:color w:val="4C7F54"/>
        </w:rPr>
        <w:t>Diagnostics</w:t>
      </w:r>
      <w:proofErr w:type="spellEnd"/>
      <w:proofErr w:type="gramEnd"/>
      <w:r>
        <w:rPr>
          <w:rFonts w:ascii="TimesNewRomanPSMT" w:hAnsi="TimesNewRomanPSMT"/>
          <w:color w:val="4C7F54"/>
        </w:rPr>
        <w:t xml:space="preserve"> (Basel). 2022 May 12;12(5):1212. </w:t>
      </w:r>
      <w:proofErr w:type="spellStart"/>
      <w:r>
        <w:rPr>
          <w:rFonts w:ascii="TimesNewRomanPSMT" w:hAnsi="TimesNewRomanPSMT"/>
          <w:color w:val="4C7F54"/>
        </w:rPr>
        <w:t>doi</w:t>
      </w:r>
      <w:proofErr w:type="spellEnd"/>
      <w:r>
        <w:rPr>
          <w:rFonts w:ascii="TimesNewRomanPSMT" w:hAnsi="TimesNewRomanPSMT"/>
          <w:color w:val="4C7F54"/>
        </w:rPr>
        <w:t xml:space="preserve">: 10.3390/diagnostics12051212.PMID: 35626367 </w:t>
      </w:r>
      <w:r>
        <w:rPr>
          <w:rFonts w:ascii="TimesNewRomanPS" w:hAnsi="TimesNewRomanPS"/>
          <w:b/>
          <w:bCs/>
          <w:color w:val="BF5400"/>
        </w:rPr>
        <w:t xml:space="preserve">Free PMC article. </w:t>
      </w:r>
    </w:p>
    <w:p w14:paraId="6E396EB0" w14:textId="77777777" w:rsidR="00AC2BA1" w:rsidRDefault="00AC2BA1" w:rsidP="00AC2BA1">
      <w:pPr>
        <w:pStyle w:val="NormalWeb"/>
        <w:shd w:val="clear" w:color="auto" w:fill="FFFFFF"/>
      </w:pPr>
      <w:r>
        <w:rPr>
          <w:rFonts w:ascii="TimesNewRomanPS" w:hAnsi="TimesNewRomanPS"/>
          <w:b/>
          <w:bCs/>
          <w:color w:val="1E1E1E"/>
        </w:rPr>
        <w:t xml:space="preserve">Abstract </w:t>
      </w:r>
    </w:p>
    <w:p w14:paraId="2C584848" w14:textId="77777777" w:rsidR="00AC2BA1" w:rsidRDefault="00AC2BA1" w:rsidP="00AC2BA1">
      <w:pPr>
        <w:pStyle w:val="NormalWeb"/>
        <w:shd w:val="clear" w:color="auto" w:fill="FFFFFF"/>
      </w:pPr>
      <w:r>
        <w:rPr>
          <w:rFonts w:ascii="TimesNewRomanPSMT" w:hAnsi="TimesNewRomanPSMT"/>
          <w:color w:val="1E1E1E"/>
        </w:rPr>
        <w:t xml:space="preserve">This study aimed to evaluate the prediction efficacy of malignant transformation of ovarian endometrioma (OE) using the Copenhagen Index (CPH-I), the risk of ovarian malignancy algorithm (ROMA), and the R2 predictive index. This retrospective study was conducted at the Department of </w:t>
      </w:r>
      <w:proofErr w:type="spellStart"/>
      <w:r>
        <w:rPr>
          <w:rFonts w:ascii="TimesNewRomanPSMT" w:hAnsi="TimesNewRomanPSMT"/>
          <w:color w:val="1E1E1E"/>
        </w:rPr>
        <w:t>Gynecology</w:t>
      </w:r>
      <w:proofErr w:type="spellEnd"/>
      <w:r>
        <w:rPr>
          <w:rFonts w:ascii="TimesNewRomanPSMT" w:hAnsi="TimesNewRomanPSMT"/>
          <w:color w:val="1E1E1E"/>
        </w:rPr>
        <w:t xml:space="preserve">, Nara Medical University Hospital, from January 2008 to July 2021. A total of 171 patients were included in the study. In the current study, cases were divided into three cohorts: pre-menopausal, post-menopausal, and a combined cohort. Patients with benign ovarian </w:t>
      </w:r>
      <w:proofErr w:type="spellStart"/>
      <w:r>
        <w:rPr>
          <w:rFonts w:ascii="TimesNewRomanPSMT" w:hAnsi="TimesNewRomanPSMT"/>
          <w:color w:val="1E1E1E"/>
        </w:rPr>
        <w:t>tumor</w:t>
      </w:r>
      <w:proofErr w:type="spellEnd"/>
      <w:r>
        <w:rPr>
          <w:rFonts w:ascii="TimesNewRomanPSMT" w:hAnsi="TimesNewRomanPSMT"/>
          <w:color w:val="1E1E1E"/>
        </w:rPr>
        <w:t xml:space="preserve"> mainly received laparoscopic surgery, and patients with suspected malignant </w:t>
      </w:r>
      <w:proofErr w:type="spellStart"/>
      <w:r>
        <w:rPr>
          <w:rFonts w:ascii="TimesNewRomanPSMT" w:hAnsi="TimesNewRomanPSMT"/>
          <w:color w:val="1E1E1E"/>
        </w:rPr>
        <w:t>tumors</w:t>
      </w:r>
      <w:proofErr w:type="spellEnd"/>
      <w:r>
        <w:rPr>
          <w:rFonts w:ascii="TimesNewRomanPSMT" w:hAnsi="TimesNewRomanPSMT"/>
          <w:color w:val="1E1E1E"/>
        </w:rPr>
        <w:t xml:space="preserve"> underwent laparotomy. Information from a review chart of the patients' medical records was collected. In the combined cohort, a multivariate analysis confirmed that the ROMA index, the R2 predictive index, and </w:t>
      </w:r>
      <w:proofErr w:type="spellStart"/>
      <w:r>
        <w:rPr>
          <w:rFonts w:ascii="TimesNewRomanPSMT" w:hAnsi="TimesNewRomanPSMT"/>
          <w:color w:val="1E1E1E"/>
        </w:rPr>
        <w:t>tumor</w:t>
      </w:r>
      <w:proofErr w:type="spellEnd"/>
      <w:r>
        <w:rPr>
          <w:rFonts w:ascii="TimesNewRomanPSMT" w:hAnsi="TimesNewRomanPSMT"/>
          <w:color w:val="1E1E1E"/>
        </w:rPr>
        <w:t xml:space="preserve"> laterality were extracted as independent factors for predicting malignant </w:t>
      </w:r>
      <w:proofErr w:type="spellStart"/>
      <w:r>
        <w:rPr>
          <w:rFonts w:ascii="TimesNewRomanPSMT" w:hAnsi="TimesNewRomanPSMT"/>
          <w:color w:val="1E1E1E"/>
        </w:rPr>
        <w:t>tumors</w:t>
      </w:r>
      <w:proofErr w:type="spellEnd"/>
      <w:r>
        <w:rPr>
          <w:rFonts w:ascii="TimesNewRomanPSMT" w:hAnsi="TimesNewRomanPSMT"/>
          <w:color w:val="1E1E1E"/>
        </w:rPr>
        <w:t xml:space="preserve"> (hazard ratio (HR): 222.14, 95% confidence interval (CI): 22.27- </w:t>
      </w:r>
    </w:p>
    <w:p w14:paraId="51D9ACD3" w14:textId="77777777" w:rsidR="00AC2BA1" w:rsidRDefault="00AC2BA1" w:rsidP="00AC2BA1">
      <w:pPr>
        <w:pStyle w:val="NormalWeb"/>
        <w:shd w:val="clear" w:color="auto" w:fill="FFFFFF"/>
      </w:pPr>
      <w:r>
        <w:rPr>
          <w:rFonts w:ascii="TimesNewRomanPSMT" w:hAnsi="TimesNewRomanPSMT"/>
          <w:color w:val="1E1E1E"/>
        </w:rPr>
        <w:t xml:space="preserve">2215.50, </w:t>
      </w:r>
      <w:r>
        <w:rPr>
          <w:rFonts w:ascii="TimesNewRomanPS" w:hAnsi="TimesNewRomanPS"/>
          <w:i/>
          <w:iCs/>
          <w:color w:val="1E1E1E"/>
        </w:rPr>
        <w:t xml:space="preserve">p </w:t>
      </w:r>
      <w:r>
        <w:rPr>
          <w:rFonts w:ascii="TimesNewRomanPSMT" w:hAnsi="TimesNewRomanPSMT"/>
          <w:color w:val="1E1E1E"/>
        </w:rPr>
        <w:t>&amp;</w:t>
      </w:r>
      <w:proofErr w:type="spellStart"/>
      <w:r>
        <w:rPr>
          <w:rFonts w:ascii="TimesNewRomanPSMT" w:hAnsi="TimesNewRomanPSMT"/>
          <w:color w:val="1E1E1E"/>
        </w:rPr>
        <w:t>lt</w:t>
      </w:r>
      <w:proofErr w:type="spellEnd"/>
      <w:r>
        <w:rPr>
          <w:rFonts w:ascii="TimesNewRomanPSMT" w:hAnsi="TimesNewRomanPSMT"/>
          <w:color w:val="1E1E1E"/>
        </w:rPr>
        <w:t xml:space="preserve">; 0.001; HR: 9.80, 95% CI: 2.90-33.13, </w:t>
      </w:r>
      <w:r>
        <w:rPr>
          <w:rFonts w:ascii="TimesNewRomanPS" w:hAnsi="TimesNewRomanPS"/>
          <w:i/>
          <w:iCs/>
          <w:color w:val="1E1E1E"/>
        </w:rPr>
        <w:t xml:space="preserve">p </w:t>
      </w:r>
      <w:r>
        <w:rPr>
          <w:rFonts w:ascii="TimesNewRomanPSMT" w:hAnsi="TimesNewRomanPSMT"/>
          <w:color w:val="1E1E1E"/>
        </w:rPr>
        <w:t>&amp;</w:t>
      </w:r>
      <w:proofErr w:type="spellStart"/>
      <w:r>
        <w:rPr>
          <w:rFonts w:ascii="TimesNewRomanPSMT" w:hAnsi="TimesNewRomanPSMT"/>
          <w:color w:val="1E1E1E"/>
        </w:rPr>
        <w:t>lt</w:t>
      </w:r>
      <w:proofErr w:type="spellEnd"/>
      <w:r>
        <w:rPr>
          <w:rFonts w:ascii="TimesNewRomanPSMT" w:hAnsi="TimesNewRomanPSMT"/>
          <w:color w:val="1E1E1E"/>
        </w:rPr>
        <w:t xml:space="preserve">; 0.001; HR: 0.15, 95% CI: 0.03- 0.75, </w:t>
      </w:r>
      <w:r>
        <w:rPr>
          <w:rFonts w:ascii="TimesNewRomanPS" w:hAnsi="TimesNewRomanPS"/>
          <w:i/>
          <w:iCs/>
          <w:color w:val="1E1E1E"/>
        </w:rPr>
        <w:t xml:space="preserve">p </w:t>
      </w:r>
      <w:r>
        <w:rPr>
          <w:rFonts w:ascii="TimesNewRomanPSMT" w:hAnsi="TimesNewRomanPSMT"/>
          <w:color w:val="1E1E1E"/>
        </w:rPr>
        <w:t xml:space="preserve">= 0.021, respectively). In the pre-menopausal cohort, a multivariate analysis confirmed that the CPH index and the R2 predictive index were extracted as independent factors for predicting malignant </w:t>
      </w:r>
      <w:proofErr w:type="spellStart"/>
      <w:r>
        <w:rPr>
          <w:rFonts w:ascii="TimesNewRomanPSMT" w:hAnsi="TimesNewRomanPSMT"/>
          <w:color w:val="1E1E1E"/>
        </w:rPr>
        <w:t>tumors</w:t>
      </w:r>
      <w:proofErr w:type="spellEnd"/>
      <w:r>
        <w:rPr>
          <w:rFonts w:ascii="TimesNewRomanPSMT" w:hAnsi="TimesNewRomanPSMT"/>
          <w:color w:val="1E1E1E"/>
        </w:rPr>
        <w:t xml:space="preserve"> (HR: 6.45, 95% CI: 1.47-28.22, </w:t>
      </w:r>
      <w:r>
        <w:rPr>
          <w:rFonts w:ascii="TimesNewRomanPS" w:hAnsi="TimesNewRomanPS"/>
          <w:i/>
          <w:iCs/>
          <w:color w:val="1E1E1E"/>
        </w:rPr>
        <w:t xml:space="preserve">p </w:t>
      </w:r>
      <w:r>
        <w:rPr>
          <w:rFonts w:ascii="TimesNewRomanPSMT" w:hAnsi="TimesNewRomanPSMT"/>
          <w:color w:val="1E1E1E"/>
        </w:rPr>
        <w:t xml:space="preserve">= 0.013; HR: 31.19, 95% CI: 8.48-114.74, </w:t>
      </w:r>
      <w:r>
        <w:rPr>
          <w:rFonts w:ascii="TimesNewRomanPS" w:hAnsi="TimesNewRomanPS"/>
          <w:i/>
          <w:iCs/>
          <w:color w:val="1E1E1E"/>
        </w:rPr>
        <w:t xml:space="preserve">p </w:t>
      </w:r>
      <w:r>
        <w:rPr>
          <w:rFonts w:ascii="TimesNewRomanPSMT" w:hAnsi="TimesNewRomanPSMT"/>
          <w:color w:val="1E1E1E"/>
        </w:rPr>
        <w:t>&amp;</w:t>
      </w:r>
      <w:proofErr w:type="spellStart"/>
      <w:r>
        <w:rPr>
          <w:rFonts w:ascii="TimesNewRomanPSMT" w:hAnsi="TimesNewRomanPSMT"/>
          <w:color w:val="1E1E1E"/>
        </w:rPr>
        <w:t>lt</w:t>
      </w:r>
      <w:proofErr w:type="spellEnd"/>
      <w:r>
        <w:rPr>
          <w:rFonts w:ascii="TimesNewRomanPSMT" w:hAnsi="TimesNewRomanPSMT"/>
          <w:color w:val="1E1E1E"/>
        </w:rPr>
        <w:t xml:space="preserve">; 0.001, respectively). Moreover, the R2 predictive index was only extracted as an independent factor for predicting borderline </w:t>
      </w:r>
      <w:proofErr w:type="spellStart"/>
      <w:r>
        <w:rPr>
          <w:rFonts w:ascii="TimesNewRomanPSMT" w:hAnsi="TimesNewRomanPSMT"/>
          <w:color w:val="1E1E1E"/>
        </w:rPr>
        <w:t>tumors</w:t>
      </w:r>
      <w:proofErr w:type="spellEnd"/>
      <w:r>
        <w:rPr>
          <w:rFonts w:ascii="TimesNewRomanPSMT" w:hAnsi="TimesNewRomanPSMT"/>
          <w:color w:val="1E1E1E"/>
        </w:rPr>
        <w:t xml:space="preserve"> (HR: 45.00, 95% CI: 7.43-272.52, </w:t>
      </w:r>
      <w:r>
        <w:rPr>
          <w:rFonts w:ascii="TimesNewRomanPS" w:hAnsi="TimesNewRomanPS"/>
          <w:i/>
          <w:iCs/>
          <w:color w:val="1E1E1E"/>
        </w:rPr>
        <w:t xml:space="preserve">p </w:t>
      </w:r>
      <w:r>
        <w:rPr>
          <w:rFonts w:ascii="TimesNewRomanPSMT" w:hAnsi="TimesNewRomanPSMT"/>
          <w:color w:val="1E1E1E"/>
        </w:rPr>
        <w:t>&amp;</w:t>
      </w:r>
      <w:proofErr w:type="spellStart"/>
      <w:r>
        <w:rPr>
          <w:rFonts w:ascii="TimesNewRomanPSMT" w:hAnsi="TimesNewRomanPSMT"/>
          <w:color w:val="1E1E1E"/>
        </w:rPr>
        <w:t>lt</w:t>
      </w:r>
      <w:proofErr w:type="spellEnd"/>
      <w:r>
        <w:rPr>
          <w:rFonts w:ascii="TimesNewRomanPSMT" w:hAnsi="TimesNewRomanPSMT"/>
          <w:color w:val="1E1E1E"/>
        </w:rPr>
        <w:t xml:space="preserve">; 0.001) in the combined cohort. In pre-menopausal cases or borderline cases, the R2 predictive index is useful; while, in post-menopausal cases, the ROMA index is better than the other indexes. </w:t>
      </w:r>
    </w:p>
    <w:p w14:paraId="26C7FD1C" w14:textId="77777777" w:rsidR="00AC2BA1" w:rsidRDefault="00AC2BA1" w:rsidP="00AC2BA1">
      <w:pPr>
        <w:pStyle w:val="NormalWeb"/>
        <w:shd w:val="clear" w:color="auto" w:fill="FFFFFF"/>
      </w:pPr>
      <w:r>
        <w:rPr>
          <w:rFonts w:ascii="TimesNewRomanPS" w:hAnsi="TimesNewRomanPS"/>
          <w:b/>
          <w:bCs/>
          <w:color w:val="1E1E1E"/>
        </w:rPr>
        <w:t xml:space="preserve">Keywords: </w:t>
      </w:r>
      <w:r>
        <w:rPr>
          <w:rFonts w:ascii="TimesNewRomanPSMT" w:hAnsi="TimesNewRomanPSMT"/>
          <w:color w:val="1E1E1E"/>
        </w:rPr>
        <w:t xml:space="preserve">CPH index; R2 predictive index; ROMA index; borderline ovarian </w:t>
      </w:r>
      <w:proofErr w:type="spellStart"/>
      <w:r>
        <w:rPr>
          <w:rFonts w:ascii="TimesNewRomanPSMT" w:hAnsi="TimesNewRomanPSMT"/>
          <w:color w:val="1E1E1E"/>
        </w:rPr>
        <w:t>tumor</w:t>
      </w:r>
      <w:proofErr w:type="spellEnd"/>
      <w:r>
        <w:rPr>
          <w:rFonts w:ascii="TimesNewRomanPSMT" w:hAnsi="TimesNewRomanPSMT"/>
          <w:color w:val="1E1E1E"/>
        </w:rPr>
        <w:t xml:space="preserve">; endometriosis associated ovarian cancer; malignant ovarian </w:t>
      </w:r>
      <w:proofErr w:type="spellStart"/>
      <w:r>
        <w:rPr>
          <w:rFonts w:ascii="TimesNewRomanPSMT" w:hAnsi="TimesNewRomanPSMT"/>
          <w:color w:val="1E1E1E"/>
        </w:rPr>
        <w:t>tumor</w:t>
      </w:r>
      <w:proofErr w:type="spellEnd"/>
      <w:r>
        <w:rPr>
          <w:rFonts w:ascii="TimesNewRomanPSMT" w:hAnsi="TimesNewRomanPSMT"/>
          <w:color w:val="1E1E1E"/>
        </w:rPr>
        <w:t xml:space="preserve">; ovarian endometrioma. </w:t>
      </w:r>
    </w:p>
    <w:p w14:paraId="7527001D" w14:textId="77777777" w:rsidR="00D30F83" w:rsidRDefault="00D30F83"/>
    <w:sectPr w:rsidR="00D30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A1"/>
    <w:rsid w:val="001C7F88"/>
    <w:rsid w:val="00432D50"/>
    <w:rsid w:val="00875F78"/>
    <w:rsid w:val="00A74000"/>
    <w:rsid w:val="00AC2BA1"/>
    <w:rsid w:val="00B02158"/>
    <w:rsid w:val="00BE7B39"/>
    <w:rsid w:val="00D10F9D"/>
    <w:rsid w:val="00D30F83"/>
    <w:rsid w:val="00D7461F"/>
    <w:rsid w:val="00DB67B4"/>
    <w:rsid w:val="00F21CD6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13960"/>
  <w15:chartTrackingRefBased/>
  <w15:docId w15:val="{02A68773-9A71-6F44-ACB0-A1BCDF99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B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 Topbas Selcuki</dc:creator>
  <cp:keywords/>
  <dc:description/>
  <cp:lastModifiedBy>Nura Topbas Selcuki</cp:lastModifiedBy>
  <cp:revision>1</cp:revision>
  <dcterms:created xsi:type="dcterms:W3CDTF">2022-07-30T18:41:00Z</dcterms:created>
  <dcterms:modified xsi:type="dcterms:W3CDTF">2022-07-30T18:42:00Z</dcterms:modified>
</cp:coreProperties>
</file>