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B45B4" w14:textId="77777777" w:rsidR="003955F1" w:rsidRDefault="003955F1" w:rsidP="003955F1">
      <w:pPr>
        <w:pStyle w:val="NormalWeb"/>
      </w:pPr>
      <w:r>
        <w:rPr>
          <w:rFonts w:ascii="TimesNewRomanPSMT" w:hAnsi="TimesNewRomanPSMT"/>
        </w:rPr>
        <w:t xml:space="preserve">41) </w:t>
      </w:r>
      <w:r>
        <w:rPr>
          <w:rFonts w:ascii="TimesNewRomanPSMT" w:hAnsi="TimesNewRomanPSMT"/>
          <w:color w:val="0070BA"/>
        </w:rPr>
        <w:t xml:space="preserve">Glycemic Index, Glycemic Load, Fiber, and Gluten Intake and Risk of Laparoscopically- Confirmed </w:t>
      </w:r>
      <w:r>
        <w:rPr>
          <w:rFonts w:ascii="TimesNewRomanPS" w:hAnsi="TimesNewRomanPS"/>
          <w:b/>
          <w:bCs/>
          <w:color w:val="0070BA"/>
        </w:rPr>
        <w:t xml:space="preserve">Endometriosis </w:t>
      </w:r>
      <w:r>
        <w:rPr>
          <w:rFonts w:ascii="TimesNewRomanPSMT" w:hAnsi="TimesNewRomanPSMT"/>
          <w:color w:val="0070BA"/>
        </w:rPr>
        <w:t xml:space="preserve">in Premenopausal Women. </w:t>
      </w:r>
    </w:p>
    <w:p w14:paraId="6ACDC19C" w14:textId="77777777" w:rsidR="003955F1" w:rsidRDefault="003955F1" w:rsidP="003955F1">
      <w:pPr>
        <w:pStyle w:val="NormalWeb"/>
      </w:pPr>
      <w:r>
        <w:rPr>
          <w:rFonts w:ascii="TimesNewRomanPSMT" w:hAnsi="TimesNewRomanPSMT"/>
          <w:color w:val="1E1E1E"/>
        </w:rPr>
        <w:t xml:space="preserve">Schwartz NRM, Afeiche MC, Terry KL, Farland LV, Chavarro JE, Missmer SA, Harris </w:t>
      </w:r>
      <w:proofErr w:type="gramStart"/>
      <w:r>
        <w:rPr>
          <w:rFonts w:ascii="TimesNewRomanPSMT" w:hAnsi="TimesNewRomanPSMT"/>
          <w:color w:val="1E1E1E"/>
        </w:rPr>
        <w:t>HR.</w:t>
      </w:r>
      <w:r>
        <w:rPr>
          <w:rFonts w:ascii="TimesNewRomanPSMT" w:hAnsi="TimesNewRomanPSMT"/>
          <w:color w:val="4C7F54"/>
        </w:rPr>
        <w:t>J</w:t>
      </w:r>
      <w:proofErr w:type="gramEnd"/>
      <w:r>
        <w:rPr>
          <w:rFonts w:ascii="TimesNewRomanPSMT" w:hAnsi="TimesNewRomanPSMT"/>
          <w:color w:val="4C7F54"/>
        </w:rPr>
        <w:t xml:space="preserve"> Nutr. 2022 May </w:t>
      </w:r>
      <w:proofErr w:type="gramStart"/>
      <w:r>
        <w:rPr>
          <w:rFonts w:ascii="TimesNewRomanPSMT" w:hAnsi="TimesNewRomanPSMT"/>
          <w:color w:val="4C7F54"/>
        </w:rPr>
        <w:t>12:nxac</w:t>
      </w:r>
      <w:proofErr w:type="gramEnd"/>
      <w:r>
        <w:rPr>
          <w:rFonts w:ascii="TimesNewRomanPSMT" w:hAnsi="TimesNewRomanPSMT"/>
          <w:color w:val="4C7F54"/>
        </w:rPr>
        <w:t xml:space="preserve">107. doi: 10.1093/jn/nxac107. Online ahead of </w:t>
      </w:r>
      <w:proofErr w:type="gramStart"/>
      <w:r>
        <w:rPr>
          <w:rFonts w:ascii="TimesNewRomanPSMT" w:hAnsi="TimesNewRomanPSMT"/>
          <w:color w:val="4C7F54"/>
        </w:rPr>
        <w:t>print.PMID</w:t>
      </w:r>
      <w:proofErr w:type="gramEnd"/>
      <w:r>
        <w:rPr>
          <w:rFonts w:ascii="TimesNewRomanPSMT" w:hAnsi="TimesNewRomanPSMT"/>
          <w:color w:val="4C7F54"/>
        </w:rPr>
        <w:t xml:space="preserve">: 35554558 </w:t>
      </w:r>
    </w:p>
    <w:p w14:paraId="728978DA" w14:textId="77777777" w:rsidR="003955F1" w:rsidRDefault="003955F1" w:rsidP="003955F1">
      <w:pPr>
        <w:pStyle w:val="NormalWeb"/>
      </w:pPr>
      <w:r>
        <w:rPr>
          <w:rFonts w:ascii="TimesNewRomanPS" w:hAnsi="TimesNewRomanPS"/>
          <w:b/>
          <w:bCs/>
          <w:color w:val="1E1E1E"/>
          <w:shd w:val="clear" w:color="auto" w:fill="FFFFFF"/>
        </w:rPr>
        <w:t xml:space="preserve">Abstract </w:t>
      </w:r>
    </w:p>
    <w:p w14:paraId="1EEE34B7" w14:textId="77777777" w:rsidR="003955F1" w:rsidRDefault="003955F1" w:rsidP="003955F1">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The etiology of endometriosis is not well understood. Limited evidence suggests that dietary factors influence risk, but prospective data related to carbohydrate, fiber, and gluten consumption are scarce. Despite this, recommendations concerning fiber, gluten intake and endometriosis are pervasive in the lay literature. </w:t>
      </w:r>
    </w:p>
    <w:p w14:paraId="33690B27" w14:textId="77777777" w:rsidR="003955F1" w:rsidRDefault="003955F1" w:rsidP="003955F1">
      <w:pPr>
        <w:pStyle w:val="NormalWeb"/>
        <w:shd w:val="clear" w:color="auto" w:fill="FFFFFF"/>
      </w:pPr>
      <w:r>
        <w:rPr>
          <w:rFonts w:ascii="TimesNewRomanPS" w:hAnsi="TimesNewRomanPS"/>
          <w:b/>
          <w:bCs/>
          <w:color w:val="1E1E1E"/>
        </w:rPr>
        <w:t xml:space="preserve">Objective: </w:t>
      </w:r>
      <w:r>
        <w:rPr>
          <w:rFonts w:ascii="TimesNewRomanPSMT" w:hAnsi="TimesNewRomanPSMT"/>
          <w:color w:val="1E1E1E"/>
        </w:rPr>
        <w:t xml:space="preserve">To investigate the association between carbohydrate quality (glycemic index [GI] and glycemic load [GL]), fiber intake (total, legume, vegetable, cruciferous vegetable, fruit, cereal), and gluten intake and incident </w:t>
      </w:r>
      <w:proofErr w:type="gramStart"/>
      <w:r>
        <w:rPr>
          <w:rFonts w:ascii="TimesNewRomanPSMT" w:hAnsi="TimesNewRomanPSMT"/>
          <w:color w:val="1E1E1E"/>
        </w:rPr>
        <w:t>laparoscopically-confirmed</w:t>
      </w:r>
      <w:proofErr w:type="gramEnd"/>
      <w:r>
        <w:rPr>
          <w:rFonts w:ascii="TimesNewRomanPSMT" w:hAnsi="TimesNewRomanPSMT"/>
          <w:color w:val="1E1E1E"/>
        </w:rPr>
        <w:t xml:space="preserve"> endometriosis. </w:t>
      </w:r>
    </w:p>
    <w:p w14:paraId="5FDD9342" w14:textId="77777777" w:rsidR="003955F1" w:rsidRDefault="003955F1" w:rsidP="003955F1">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A prospective cohort study using data collected from 81,961 premenopausal women in the Nurses' Health Study II (mean age = 36 in 1991). Diet was assessed with a validated food frequency questionnaire every four years. Cox proportional hazards models were used to calculate rate ratios (RR) and 95% confidence intervals (CI). </w:t>
      </w:r>
    </w:p>
    <w:p w14:paraId="52673EBD" w14:textId="77777777" w:rsidR="003955F1" w:rsidRDefault="003955F1" w:rsidP="003955F1">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3,810 incident cases of </w:t>
      </w:r>
      <w:proofErr w:type="gramStart"/>
      <w:r>
        <w:rPr>
          <w:rFonts w:ascii="TimesNewRomanPSMT" w:hAnsi="TimesNewRomanPSMT"/>
          <w:color w:val="1E1E1E"/>
        </w:rPr>
        <w:t>laparoscopically-confirmed</w:t>
      </w:r>
      <w:proofErr w:type="gramEnd"/>
      <w:r>
        <w:rPr>
          <w:rFonts w:ascii="TimesNewRomanPSMT" w:hAnsi="TimesNewRomanPSMT"/>
          <w:color w:val="1E1E1E"/>
        </w:rPr>
        <w:t xml:space="preserve"> endometriosis were reported over 24 years of follow-up. Women in the highest quintile of GI had 12% (95% CI = 1.01-1.23, ptrend = 0.03) higher risk of endometriosis diagnosis than those in the lowest quintile. Total vegetable and cruciferous vegetable fiber intake were also associated with higher risk (highest vs lowest quintile RR = 1.13, 95% CI = 1.02-1.24, ptrend = 0.004; RR = 1.17, 95% CI = 1.06-1.29, ptrend = 0.02; respectively). Higher intake of fruit fiber was associated with lower risk of </w:t>
      </w:r>
      <w:proofErr w:type="gramStart"/>
      <w:r>
        <w:rPr>
          <w:rFonts w:ascii="TimesNewRomanPSMT" w:hAnsi="TimesNewRomanPSMT"/>
          <w:color w:val="1E1E1E"/>
        </w:rPr>
        <w:t>endometriosis</w:t>
      </w:r>
      <w:proofErr w:type="gramEnd"/>
      <w:r>
        <w:rPr>
          <w:rFonts w:ascii="TimesNewRomanPSMT" w:hAnsi="TimesNewRomanPSMT"/>
          <w:color w:val="1E1E1E"/>
        </w:rPr>
        <w:t xml:space="preserve"> but the association was not significant after adjusting for AHEI. Gluten intake was also associated with lower risk (highest vs lowest quintile = 0.91, 95% CI = 0.80-1.02, ptrend = 0.01), but these results were not consistent in direction nor statistical significance across sensitivity analyses. No association was observed for GL, total, legume, or cereal fiber intake. </w:t>
      </w:r>
    </w:p>
    <w:p w14:paraId="5DDECAD9" w14:textId="77777777" w:rsidR="003955F1" w:rsidRDefault="003955F1" w:rsidP="003955F1">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Our findings suggest that carbohydrate quality and specific types of fiber - total vegetable and cruciferous vegetable fiber - are associated with endometriosis diagnosis in premenopausal women. These results also indicate it is unlikely that gluten intake is a strong factor in the etiology or symptomatology of endometriosis. </w:t>
      </w:r>
    </w:p>
    <w:p w14:paraId="4718E024" w14:textId="77777777" w:rsidR="003955F1" w:rsidRDefault="003955F1" w:rsidP="003955F1">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diet; endometriosis; fiber; gluten; nutrition. </w:t>
      </w:r>
    </w:p>
    <w:p w14:paraId="4D99E3E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5F1"/>
    <w:rsid w:val="001C7F88"/>
    <w:rsid w:val="003955F1"/>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D4CBE6"/>
  <w15:chartTrackingRefBased/>
  <w15:docId w15:val="{4E30DFD6-E2F6-DB4C-B177-3F35BAA14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55F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7896304">
      <w:bodyDiv w:val="1"/>
      <w:marLeft w:val="0"/>
      <w:marRight w:val="0"/>
      <w:marTop w:val="0"/>
      <w:marBottom w:val="0"/>
      <w:divBdr>
        <w:top w:val="none" w:sz="0" w:space="0" w:color="auto"/>
        <w:left w:val="none" w:sz="0" w:space="0" w:color="auto"/>
        <w:bottom w:val="none" w:sz="0" w:space="0" w:color="auto"/>
        <w:right w:val="none" w:sz="0" w:space="0" w:color="auto"/>
      </w:divBdr>
      <w:divsChild>
        <w:div w:id="928390707">
          <w:marLeft w:val="0"/>
          <w:marRight w:val="0"/>
          <w:marTop w:val="0"/>
          <w:marBottom w:val="0"/>
          <w:divBdr>
            <w:top w:val="none" w:sz="0" w:space="0" w:color="auto"/>
            <w:left w:val="none" w:sz="0" w:space="0" w:color="auto"/>
            <w:bottom w:val="none" w:sz="0" w:space="0" w:color="auto"/>
            <w:right w:val="none" w:sz="0" w:space="0" w:color="auto"/>
          </w:divBdr>
          <w:divsChild>
            <w:div w:id="920603671">
              <w:marLeft w:val="0"/>
              <w:marRight w:val="0"/>
              <w:marTop w:val="0"/>
              <w:marBottom w:val="0"/>
              <w:divBdr>
                <w:top w:val="none" w:sz="0" w:space="0" w:color="auto"/>
                <w:left w:val="none" w:sz="0" w:space="0" w:color="auto"/>
                <w:bottom w:val="none" w:sz="0" w:space="0" w:color="auto"/>
                <w:right w:val="none" w:sz="0" w:space="0" w:color="auto"/>
              </w:divBdr>
              <w:divsChild>
                <w:div w:id="178850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610437">
          <w:marLeft w:val="0"/>
          <w:marRight w:val="0"/>
          <w:marTop w:val="0"/>
          <w:marBottom w:val="0"/>
          <w:divBdr>
            <w:top w:val="none" w:sz="0" w:space="0" w:color="auto"/>
            <w:left w:val="none" w:sz="0" w:space="0" w:color="auto"/>
            <w:bottom w:val="none" w:sz="0" w:space="0" w:color="auto"/>
            <w:right w:val="none" w:sz="0" w:space="0" w:color="auto"/>
          </w:divBdr>
          <w:divsChild>
            <w:div w:id="1974864719">
              <w:marLeft w:val="0"/>
              <w:marRight w:val="0"/>
              <w:marTop w:val="0"/>
              <w:marBottom w:val="0"/>
              <w:divBdr>
                <w:top w:val="none" w:sz="0" w:space="0" w:color="auto"/>
                <w:left w:val="none" w:sz="0" w:space="0" w:color="auto"/>
                <w:bottom w:val="none" w:sz="0" w:space="0" w:color="auto"/>
                <w:right w:val="none" w:sz="0" w:space="0" w:color="auto"/>
              </w:divBdr>
              <w:divsChild>
                <w:div w:id="1590848065">
                  <w:marLeft w:val="0"/>
                  <w:marRight w:val="0"/>
                  <w:marTop w:val="0"/>
                  <w:marBottom w:val="0"/>
                  <w:divBdr>
                    <w:top w:val="none" w:sz="0" w:space="0" w:color="auto"/>
                    <w:left w:val="none" w:sz="0" w:space="0" w:color="auto"/>
                    <w:bottom w:val="none" w:sz="0" w:space="0" w:color="auto"/>
                    <w:right w:val="none" w:sz="0" w:space="0" w:color="auto"/>
                  </w:divBdr>
                  <w:divsChild>
                    <w:div w:id="58418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390</Words>
  <Characters>2224</Characters>
  <Application>Microsoft Office Word</Application>
  <DocSecurity>0</DocSecurity>
  <Lines>18</Lines>
  <Paragraphs>5</Paragraphs>
  <ScaleCrop>false</ScaleCrop>
  <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2022-07-30T18:43:00Z</dcterms:created>
  <dcterms:modified xsi:type="dcterms:W3CDTF">2022-07-30T18:43:00Z</dcterms:modified>
</cp:coreProperties>
</file>