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F2D446" w14:textId="77777777" w:rsidR="00260C70" w:rsidRDefault="00260C70" w:rsidP="00260C70">
      <w:pPr>
        <w:pStyle w:val="NormalWeb"/>
      </w:pPr>
      <w:r>
        <w:rPr>
          <w:rFonts w:ascii="TimesNewRomanPSMT" w:hAnsi="TimesNewRomanPSMT"/>
        </w:rPr>
        <w:t xml:space="preserve">42) </w:t>
      </w:r>
      <w:r>
        <w:rPr>
          <w:rFonts w:ascii="TimesNewRomanPSMT" w:hAnsi="TimesNewRomanPSMT"/>
          <w:color w:val="0070BA"/>
        </w:rPr>
        <w:t xml:space="preserve">Interleukin 17 receptor E identifies heterogeneous T helper 17 cells in peritoneal fluid of moderate and severe </w:t>
      </w:r>
      <w:r>
        <w:rPr>
          <w:rFonts w:ascii="TimesNewRomanPS" w:hAnsi="TimesNewRomanPS"/>
          <w:b/>
          <w:bCs/>
          <w:color w:val="0070BA"/>
        </w:rPr>
        <w:t xml:space="preserve">endometriosis </w:t>
      </w:r>
      <w:r>
        <w:rPr>
          <w:rFonts w:ascii="TimesNewRomanPSMT" w:hAnsi="TimesNewRomanPSMT"/>
          <w:color w:val="0070BA"/>
        </w:rPr>
        <w:t xml:space="preserve">patients. </w:t>
      </w:r>
    </w:p>
    <w:p w14:paraId="1FC638CE" w14:textId="77777777" w:rsidR="00260C70" w:rsidRDefault="00260C70" w:rsidP="00260C70">
      <w:pPr>
        <w:pStyle w:val="NormalWeb"/>
      </w:pPr>
      <w:r>
        <w:rPr>
          <w:rFonts w:ascii="TimesNewRomanPSMT" w:hAnsi="TimesNewRomanPSMT"/>
          <w:color w:val="1E1E1E"/>
        </w:rPr>
        <w:t xml:space="preserve">Jiang Y, Wang L, Peng Y, Qin J, Tan A, Wang </w:t>
      </w:r>
      <w:proofErr w:type="spellStart"/>
      <w:proofErr w:type="gramStart"/>
      <w:r>
        <w:rPr>
          <w:rFonts w:ascii="TimesNewRomanPSMT" w:hAnsi="TimesNewRomanPSMT"/>
          <w:color w:val="1E1E1E"/>
        </w:rPr>
        <w:t>S.</w:t>
      </w:r>
      <w:r>
        <w:rPr>
          <w:rFonts w:ascii="TimesNewRomanPSMT" w:hAnsi="TimesNewRomanPSMT"/>
          <w:color w:val="4C7F54"/>
        </w:rPr>
        <w:t>Clin</w:t>
      </w:r>
      <w:proofErr w:type="spellEnd"/>
      <w:proofErr w:type="gramEnd"/>
      <w:r>
        <w:rPr>
          <w:rFonts w:ascii="TimesNewRomanPSMT" w:hAnsi="TimesNewRomanPSMT"/>
          <w:color w:val="4C7F54"/>
        </w:rPr>
        <w:t xml:space="preserve"> Exp Immunol. 2022 May 12;207(3):360- 369. </w:t>
      </w:r>
      <w:proofErr w:type="spellStart"/>
      <w:r>
        <w:rPr>
          <w:rFonts w:ascii="TimesNewRomanPSMT" w:hAnsi="TimesNewRomanPSMT"/>
          <w:color w:val="4C7F54"/>
        </w:rPr>
        <w:t>doi</w:t>
      </w:r>
      <w:proofErr w:type="spellEnd"/>
      <w:r>
        <w:rPr>
          <w:rFonts w:ascii="TimesNewRomanPSMT" w:hAnsi="TimesNewRomanPSMT"/>
          <w:color w:val="4C7F54"/>
        </w:rPr>
        <w:t>: 10.1093/</w:t>
      </w:r>
      <w:proofErr w:type="spellStart"/>
      <w:r>
        <w:rPr>
          <w:rFonts w:ascii="TimesNewRomanPSMT" w:hAnsi="TimesNewRomanPSMT"/>
          <w:color w:val="4C7F54"/>
        </w:rPr>
        <w:t>cei</w:t>
      </w:r>
      <w:proofErr w:type="spellEnd"/>
      <w:r>
        <w:rPr>
          <w:rFonts w:ascii="TimesNewRomanPSMT" w:hAnsi="TimesNewRomanPSMT"/>
          <w:color w:val="4C7F54"/>
        </w:rPr>
        <w:t xml:space="preserve">/uxac004.PMID: 35553626 </w:t>
      </w:r>
    </w:p>
    <w:p w14:paraId="127DF33B" w14:textId="77777777" w:rsidR="00260C70" w:rsidRDefault="00260C70" w:rsidP="00260C70">
      <w:pPr>
        <w:pStyle w:val="NormalWeb"/>
        <w:shd w:val="clear" w:color="auto" w:fill="FFFFFF"/>
      </w:pPr>
      <w:r>
        <w:rPr>
          <w:rFonts w:ascii="TimesNewRomanPS" w:hAnsi="TimesNewRomanPS"/>
          <w:b/>
          <w:bCs/>
          <w:color w:val="1E1E1E"/>
        </w:rPr>
        <w:t xml:space="preserve">Abstract </w:t>
      </w:r>
    </w:p>
    <w:p w14:paraId="04E8E159" w14:textId="77777777" w:rsidR="00260C70" w:rsidRDefault="00260C70" w:rsidP="00260C70">
      <w:pPr>
        <w:pStyle w:val="NormalWeb"/>
        <w:shd w:val="clear" w:color="auto" w:fill="FFFFFF"/>
      </w:pPr>
      <w:r>
        <w:rPr>
          <w:rFonts w:ascii="TimesNewRomanPSMT" w:hAnsi="TimesNewRomanPSMT"/>
          <w:color w:val="1E1E1E"/>
        </w:rPr>
        <w:t xml:space="preserve">Endometriosis is a chronic inflammatory disorder resulting in pelvic pain and infertility. The role of T helper 17 (Th17) cells in endometriosis remains elusive. In this study, through detecting CXCR3, CCR4, CCR10, CCR6, interleukin-17 Receptor E (IL-17RE), and CD27, </w:t>
      </w:r>
      <w:proofErr w:type="spellStart"/>
      <w:r>
        <w:rPr>
          <w:rFonts w:ascii="TimesNewRomanPSMT" w:hAnsi="TimesNewRomanPSMT"/>
          <w:color w:val="1E1E1E"/>
        </w:rPr>
        <w:t>RORγt</w:t>
      </w:r>
      <w:proofErr w:type="spellEnd"/>
      <w:r>
        <w:rPr>
          <w:rFonts w:ascii="TimesNewRomanPSMT" w:hAnsi="TimesNewRomanPSMT"/>
          <w:color w:val="1E1E1E"/>
        </w:rPr>
        <w:t xml:space="preserve">-and- IL-17A-expressing Th17 cells were distinguished and sorted from peritoneal fluid (PF) of patients with stage III and IV endometriosis. Furthermore, we found that IL-17RE and CD27 were the labels of heterogeneous PF Th17 subsets, </w:t>
      </w:r>
      <w:proofErr w:type="gramStart"/>
      <w:r>
        <w:rPr>
          <w:rFonts w:ascii="TimesNewRomanPSMT" w:hAnsi="TimesNewRomanPSMT"/>
          <w:color w:val="1E1E1E"/>
        </w:rPr>
        <w:t>i.e.</w:t>
      </w:r>
      <w:proofErr w:type="gramEnd"/>
      <w:r>
        <w:rPr>
          <w:rFonts w:ascii="TimesNewRomanPSMT" w:hAnsi="TimesNewRomanPSMT"/>
          <w:color w:val="1E1E1E"/>
        </w:rPr>
        <w:t xml:space="preserve"> IL-17RE-CD27- subset, IL-17RE+CD27- </w:t>
      </w:r>
    </w:p>
    <w:p w14:paraId="7519CEAC" w14:textId="77777777" w:rsidR="00260C70" w:rsidRDefault="00260C70" w:rsidP="00260C70">
      <w:pPr>
        <w:pStyle w:val="NormalWeb"/>
        <w:shd w:val="clear" w:color="auto" w:fill="FFFFFF"/>
      </w:pPr>
      <w:r>
        <w:rPr>
          <w:rFonts w:ascii="TimesNewRomanPSMT" w:hAnsi="TimesNewRomanPSMT"/>
          <w:color w:val="1E1E1E"/>
        </w:rPr>
        <w:t>subset, and IL-17RE+CD27+ subset. The former two subsets expressed higher IL-17A, GM- CSF, and IL-22 and were more proliferative than the latter subset. RNA-</w:t>
      </w:r>
      <w:proofErr w:type="spellStart"/>
      <w:r>
        <w:rPr>
          <w:rFonts w:ascii="TimesNewRomanPSMT" w:hAnsi="TimesNewRomanPSMT"/>
          <w:color w:val="1E1E1E"/>
        </w:rPr>
        <w:t>Seq</w:t>
      </w:r>
      <w:proofErr w:type="spellEnd"/>
      <w:r>
        <w:rPr>
          <w:rFonts w:ascii="TimesNewRomanPSMT" w:hAnsi="TimesNewRomanPSMT"/>
          <w:color w:val="1E1E1E"/>
        </w:rPr>
        <w:t xml:space="preserve"> analysis on IL- 17RE+ Th17 subset and IL-17RE- Th17 subset revealed up-regulation of genes involved in oxidative phosphorylation and electron transport chain in IL-17RE+ Th17 subset relative to IL- 17RE- Th17 subset. Consistently, the IL-17RE+ Th17 subset produced more adenosine triphosphate (ATP) and reactive oxygen species (ROS) than IL-17RE- Th17 subset. In conclusion, this study provides a novel method to detect and isolate live PF Th17 cells from endometriosis patients and unveils the functional and metabolic heterogeneity of PF Th17 subsets. Therefore, it sheds light on the elucidation of molecular mechanisms that modulate the function of pathological Th17 cells in endometriosis. </w:t>
      </w:r>
    </w:p>
    <w:p w14:paraId="7A1A974A" w14:textId="77777777" w:rsidR="00260C70" w:rsidRDefault="00260C70" w:rsidP="00260C70">
      <w:pPr>
        <w:pStyle w:val="NormalWeb"/>
        <w:shd w:val="clear" w:color="auto" w:fill="FFFFFF"/>
      </w:pPr>
      <w:r>
        <w:rPr>
          <w:rFonts w:ascii="TimesNewRomanPS" w:hAnsi="TimesNewRomanPS"/>
          <w:b/>
          <w:bCs/>
          <w:color w:val="1E1E1E"/>
        </w:rPr>
        <w:t xml:space="preserve">Keywords: </w:t>
      </w:r>
      <w:r>
        <w:rPr>
          <w:rFonts w:ascii="TimesNewRomanPSMT" w:hAnsi="TimesNewRomanPSMT"/>
          <w:color w:val="1E1E1E"/>
        </w:rPr>
        <w:t xml:space="preserve">CD27; T helper 17 (Th17) cells; electron transport chain; endometriosis; interleukin 17 receptor E; oxidative phosphorylation. </w:t>
      </w:r>
    </w:p>
    <w:p w14:paraId="457268F2"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imesNewRomanPSMT">
    <w:altName w:val="Times New Roman"/>
    <w:panose1 w:val="020B0604020202020204"/>
    <w:charset w:val="00"/>
    <w:family w:val="roman"/>
    <w:notTrueType/>
    <w:pitch w:val="default"/>
  </w:font>
  <w:font w:name="TimesNewRomanPS">
    <w:altName w:val="Times New Roman"/>
    <w:panose1 w:val="020B0604020202020204"/>
    <w:charset w:val="00"/>
    <w:family w:val="roman"/>
    <w:notTrueType/>
    <w:pitch w:val="default"/>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0C70"/>
    <w:rsid w:val="001C7F88"/>
    <w:rsid w:val="00260C70"/>
    <w:rsid w:val="00432D50"/>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A24C338"/>
  <w15:chartTrackingRefBased/>
  <w15:docId w15:val="{D75DE37D-DEB2-F246-A2A4-A0023438F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60C70"/>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6190447">
      <w:bodyDiv w:val="1"/>
      <w:marLeft w:val="0"/>
      <w:marRight w:val="0"/>
      <w:marTop w:val="0"/>
      <w:marBottom w:val="0"/>
      <w:divBdr>
        <w:top w:val="none" w:sz="0" w:space="0" w:color="auto"/>
        <w:left w:val="none" w:sz="0" w:space="0" w:color="auto"/>
        <w:bottom w:val="none" w:sz="0" w:space="0" w:color="auto"/>
        <w:right w:val="none" w:sz="0" w:space="0" w:color="auto"/>
      </w:divBdr>
      <w:divsChild>
        <w:div w:id="897323705">
          <w:marLeft w:val="0"/>
          <w:marRight w:val="0"/>
          <w:marTop w:val="0"/>
          <w:marBottom w:val="0"/>
          <w:divBdr>
            <w:top w:val="none" w:sz="0" w:space="0" w:color="auto"/>
            <w:left w:val="none" w:sz="0" w:space="0" w:color="auto"/>
            <w:bottom w:val="none" w:sz="0" w:space="0" w:color="auto"/>
            <w:right w:val="none" w:sz="0" w:space="0" w:color="auto"/>
          </w:divBdr>
          <w:divsChild>
            <w:div w:id="112988518">
              <w:marLeft w:val="0"/>
              <w:marRight w:val="0"/>
              <w:marTop w:val="0"/>
              <w:marBottom w:val="0"/>
              <w:divBdr>
                <w:top w:val="none" w:sz="0" w:space="0" w:color="auto"/>
                <w:left w:val="none" w:sz="0" w:space="0" w:color="auto"/>
                <w:bottom w:val="none" w:sz="0" w:space="0" w:color="auto"/>
                <w:right w:val="none" w:sz="0" w:space="0" w:color="auto"/>
              </w:divBdr>
              <w:divsChild>
                <w:div w:id="789277547">
                  <w:marLeft w:val="0"/>
                  <w:marRight w:val="0"/>
                  <w:marTop w:val="0"/>
                  <w:marBottom w:val="0"/>
                  <w:divBdr>
                    <w:top w:val="none" w:sz="0" w:space="0" w:color="auto"/>
                    <w:left w:val="none" w:sz="0" w:space="0" w:color="auto"/>
                    <w:bottom w:val="none" w:sz="0" w:space="0" w:color="auto"/>
                    <w:right w:val="none" w:sz="0" w:space="0" w:color="auto"/>
                  </w:divBdr>
                </w:div>
              </w:divsChild>
            </w:div>
            <w:div w:id="1550339275">
              <w:marLeft w:val="0"/>
              <w:marRight w:val="0"/>
              <w:marTop w:val="0"/>
              <w:marBottom w:val="0"/>
              <w:divBdr>
                <w:top w:val="none" w:sz="0" w:space="0" w:color="auto"/>
                <w:left w:val="none" w:sz="0" w:space="0" w:color="auto"/>
                <w:bottom w:val="none" w:sz="0" w:space="0" w:color="auto"/>
                <w:right w:val="none" w:sz="0" w:space="0" w:color="auto"/>
              </w:divBdr>
              <w:divsChild>
                <w:div w:id="34739954">
                  <w:marLeft w:val="0"/>
                  <w:marRight w:val="0"/>
                  <w:marTop w:val="0"/>
                  <w:marBottom w:val="0"/>
                  <w:divBdr>
                    <w:top w:val="none" w:sz="0" w:space="0" w:color="auto"/>
                    <w:left w:val="none" w:sz="0" w:space="0" w:color="auto"/>
                    <w:bottom w:val="none" w:sz="0" w:space="0" w:color="auto"/>
                    <w:right w:val="none" w:sz="0" w:space="0" w:color="auto"/>
                  </w:divBdr>
                  <w:divsChild>
                    <w:div w:id="346374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933532">
          <w:marLeft w:val="0"/>
          <w:marRight w:val="0"/>
          <w:marTop w:val="0"/>
          <w:marBottom w:val="0"/>
          <w:divBdr>
            <w:top w:val="none" w:sz="0" w:space="0" w:color="auto"/>
            <w:left w:val="none" w:sz="0" w:space="0" w:color="auto"/>
            <w:bottom w:val="none" w:sz="0" w:space="0" w:color="auto"/>
            <w:right w:val="none" w:sz="0" w:space="0" w:color="auto"/>
          </w:divBdr>
          <w:divsChild>
            <w:div w:id="371347875">
              <w:marLeft w:val="0"/>
              <w:marRight w:val="0"/>
              <w:marTop w:val="0"/>
              <w:marBottom w:val="0"/>
              <w:divBdr>
                <w:top w:val="none" w:sz="0" w:space="0" w:color="auto"/>
                <w:left w:val="none" w:sz="0" w:space="0" w:color="auto"/>
                <w:bottom w:val="none" w:sz="0" w:space="0" w:color="auto"/>
                <w:right w:val="none" w:sz="0" w:space="0" w:color="auto"/>
              </w:divBdr>
              <w:divsChild>
                <w:div w:id="174926084">
                  <w:marLeft w:val="0"/>
                  <w:marRight w:val="0"/>
                  <w:marTop w:val="0"/>
                  <w:marBottom w:val="0"/>
                  <w:divBdr>
                    <w:top w:val="none" w:sz="0" w:space="0" w:color="auto"/>
                    <w:left w:val="none" w:sz="0" w:space="0" w:color="auto"/>
                    <w:bottom w:val="none" w:sz="0" w:space="0" w:color="auto"/>
                    <w:right w:val="none" w:sz="0" w:space="0" w:color="auto"/>
                  </w:divBdr>
                  <w:divsChild>
                    <w:div w:id="1541742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273</Words>
  <Characters>1558</Characters>
  <Application>Microsoft Office Word</Application>
  <DocSecurity>0</DocSecurity>
  <Lines>12</Lines>
  <Paragraphs>3</Paragraphs>
  <ScaleCrop>false</ScaleCrop>
  <Company/>
  <LinksUpToDate>false</LinksUpToDate>
  <CharactersWithSpaces>1828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2022-07-30T18:43:00Z</dcterms:created>
  <dcterms:modified xsi:type="dcterms:W3CDTF">2022-07-30T18:44:00Z</dcterms:modified>
</cp:coreProperties>
</file>