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B9ACBA" w14:textId="77777777" w:rsidR="00FD076F" w:rsidRDefault="00FD076F" w:rsidP="00FD076F">
      <w:pPr>
        <w:pStyle w:val="NormalWeb"/>
      </w:pPr>
      <w:r>
        <w:rPr>
          <w:rFonts w:ascii="TimesNewRomanPSMT" w:hAnsi="TimesNewRomanPSMT"/>
        </w:rPr>
        <w:t xml:space="preserve">43) </w:t>
      </w:r>
      <w:r>
        <w:rPr>
          <w:rFonts w:ascii="TimesNewRomanPSMT" w:hAnsi="TimesNewRomanPSMT"/>
          <w:color w:val="0070BA"/>
        </w:rPr>
        <w:t>Persistent activation of signal transducer and activator of transcription 3 via interleukin-6 trans-</w:t>
      </w:r>
      <w:proofErr w:type="spellStart"/>
      <w:r>
        <w:rPr>
          <w:rFonts w:ascii="TimesNewRomanPSMT" w:hAnsi="TimesNewRomanPSMT"/>
          <w:color w:val="0070BA"/>
        </w:rPr>
        <w:t>signaling</w:t>
      </w:r>
      <w:proofErr w:type="spellEnd"/>
      <w:r>
        <w:rPr>
          <w:rFonts w:ascii="TimesNewRomanPSMT" w:hAnsi="TimesNewRomanPSMT"/>
          <w:color w:val="0070BA"/>
        </w:rPr>
        <w:t xml:space="preserve"> is involved in fibrosis of </w:t>
      </w:r>
      <w:r>
        <w:rPr>
          <w:rFonts w:ascii="TimesNewRomanPS" w:hAnsi="TimesNewRomanPS"/>
          <w:b/>
          <w:bCs/>
          <w:color w:val="0070BA"/>
        </w:rPr>
        <w:t>endometriosis</w:t>
      </w:r>
      <w:r>
        <w:rPr>
          <w:rFonts w:ascii="TimesNewRomanPSMT" w:hAnsi="TimesNewRomanPSMT"/>
          <w:color w:val="0070BA"/>
        </w:rPr>
        <w:t xml:space="preserve">. </w:t>
      </w:r>
    </w:p>
    <w:p w14:paraId="612403F4" w14:textId="77777777" w:rsidR="00FD076F" w:rsidRDefault="00FD076F" w:rsidP="00FD076F">
      <w:pPr>
        <w:pStyle w:val="NormalWeb"/>
      </w:pPr>
      <w:proofErr w:type="spellStart"/>
      <w:r>
        <w:rPr>
          <w:rFonts w:ascii="TimesNewRomanPSMT" w:hAnsi="TimesNewRomanPSMT"/>
          <w:color w:val="1E1E1E"/>
        </w:rPr>
        <w:t>Matsuzaki</w:t>
      </w:r>
      <w:proofErr w:type="spellEnd"/>
      <w:r>
        <w:rPr>
          <w:rFonts w:ascii="TimesNewRomanPSMT" w:hAnsi="TimesNewRomanPSMT"/>
          <w:color w:val="1E1E1E"/>
        </w:rPr>
        <w:t xml:space="preserve"> S, </w:t>
      </w:r>
      <w:proofErr w:type="spellStart"/>
      <w:r>
        <w:rPr>
          <w:rFonts w:ascii="TimesNewRomanPSMT" w:hAnsi="TimesNewRomanPSMT"/>
          <w:color w:val="1E1E1E"/>
        </w:rPr>
        <w:t>Pouly</w:t>
      </w:r>
      <w:proofErr w:type="spellEnd"/>
      <w:r>
        <w:rPr>
          <w:rFonts w:ascii="TimesNewRomanPSMT" w:hAnsi="TimesNewRomanPSMT"/>
          <w:color w:val="1E1E1E"/>
        </w:rPr>
        <w:t xml:space="preserve"> JL, Canis </w:t>
      </w:r>
      <w:proofErr w:type="spellStart"/>
      <w:proofErr w:type="gramStart"/>
      <w:r>
        <w:rPr>
          <w:rFonts w:ascii="TimesNewRomanPSMT" w:hAnsi="TimesNewRomanPSMT"/>
          <w:color w:val="1E1E1E"/>
        </w:rPr>
        <w:t>M.</w:t>
      </w:r>
      <w:r>
        <w:rPr>
          <w:rFonts w:ascii="TimesNewRomanPSMT" w:hAnsi="TimesNewRomanPSMT"/>
          <w:color w:val="4C7F54"/>
        </w:rPr>
        <w:t>Hum</w:t>
      </w:r>
      <w:proofErr w:type="spellEnd"/>
      <w:proofErr w:type="gramEnd"/>
      <w:r>
        <w:rPr>
          <w:rFonts w:ascii="TimesNewRomanPSMT" w:hAnsi="TimesNewRomanPSMT"/>
          <w:color w:val="4C7F54"/>
        </w:rPr>
        <w:t xml:space="preserve"> </w:t>
      </w:r>
      <w:proofErr w:type="spellStart"/>
      <w:r>
        <w:rPr>
          <w:rFonts w:ascii="TimesNewRomanPSMT" w:hAnsi="TimesNewRomanPSMT"/>
          <w:color w:val="4C7F54"/>
        </w:rPr>
        <w:t>Reprod</w:t>
      </w:r>
      <w:proofErr w:type="spellEnd"/>
      <w:r>
        <w:rPr>
          <w:rFonts w:ascii="TimesNewRomanPSMT" w:hAnsi="TimesNewRomanPSMT"/>
          <w:color w:val="4C7F54"/>
        </w:rPr>
        <w:t xml:space="preserve">. 2022 May </w:t>
      </w:r>
      <w:proofErr w:type="gramStart"/>
      <w:r>
        <w:rPr>
          <w:rFonts w:ascii="TimesNewRomanPSMT" w:hAnsi="TimesNewRomanPSMT"/>
          <w:color w:val="4C7F54"/>
        </w:rPr>
        <w:t>12:deac</w:t>
      </w:r>
      <w:proofErr w:type="gramEnd"/>
      <w:r>
        <w:rPr>
          <w:rFonts w:ascii="TimesNewRomanPSMT" w:hAnsi="TimesNewRomanPSMT"/>
          <w:color w:val="4C7F54"/>
        </w:rPr>
        <w:t xml:space="preserve">098. </w:t>
      </w:r>
      <w:proofErr w:type="spellStart"/>
      <w:r>
        <w:rPr>
          <w:rFonts w:ascii="TimesNewRomanPSMT" w:hAnsi="TimesNewRomanPSMT"/>
          <w:color w:val="4C7F54"/>
        </w:rPr>
        <w:t>doi</w:t>
      </w:r>
      <w:proofErr w:type="spellEnd"/>
      <w:r>
        <w:rPr>
          <w:rFonts w:ascii="TimesNewRomanPSMT" w:hAnsi="TimesNewRomanPSMT"/>
          <w:color w:val="4C7F54"/>
        </w:rPr>
        <w:t>: 10.1093/</w:t>
      </w:r>
      <w:proofErr w:type="spellStart"/>
      <w:r>
        <w:rPr>
          <w:rFonts w:ascii="TimesNewRomanPSMT" w:hAnsi="TimesNewRomanPSMT"/>
          <w:color w:val="4C7F54"/>
        </w:rPr>
        <w:t>humrep</w:t>
      </w:r>
      <w:proofErr w:type="spellEnd"/>
      <w:r>
        <w:rPr>
          <w:rFonts w:ascii="TimesNewRomanPSMT" w:hAnsi="TimesNewRomanPSMT"/>
          <w:color w:val="4C7F54"/>
        </w:rPr>
        <w:t xml:space="preserve">/deac098. Online ahead of </w:t>
      </w:r>
      <w:proofErr w:type="spellStart"/>
      <w:proofErr w:type="gramStart"/>
      <w:r>
        <w:rPr>
          <w:rFonts w:ascii="TimesNewRomanPSMT" w:hAnsi="TimesNewRomanPSMT"/>
          <w:color w:val="4C7F54"/>
        </w:rPr>
        <w:t>print.PMID</w:t>
      </w:r>
      <w:proofErr w:type="spellEnd"/>
      <w:proofErr w:type="gramEnd"/>
      <w:r>
        <w:rPr>
          <w:rFonts w:ascii="TimesNewRomanPSMT" w:hAnsi="TimesNewRomanPSMT"/>
          <w:color w:val="4C7F54"/>
        </w:rPr>
        <w:t xml:space="preserve">: 35551394 </w:t>
      </w:r>
    </w:p>
    <w:p w14:paraId="3DB8A42C" w14:textId="77777777" w:rsidR="00FD076F" w:rsidRDefault="00FD076F" w:rsidP="00FD076F">
      <w:pPr>
        <w:pStyle w:val="NormalWeb"/>
        <w:shd w:val="clear" w:color="auto" w:fill="FFFFFF"/>
      </w:pPr>
      <w:r>
        <w:rPr>
          <w:rFonts w:ascii="TimesNewRomanPS" w:hAnsi="TimesNewRomanPS"/>
          <w:b/>
          <w:bCs/>
          <w:color w:val="1E1E1E"/>
        </w:rPr>
        <w:t>Abstract</w:t>
      </w:r>
      <w:r>
        <w:rPr>
          <w:rFonts w:ascii="TimesNewRomanPS" w:hAnsi="TimesNewRomanPS"/>
          <w:b/>
          <w:bCs/>
          <w:color w:val="1E1E1E"/>
        </w:rPr>
        <w:br/>
        <w:t xml:space="preserve">Study question: </w:t>
      </w:r>
      <w:r>
        <w:rPr>
          <w:rFonts w:ascii="TimesNewRomanPSMT" w:hAnsi="TimesNewRomanPSMT"/>
          <w:color w:val="1E1E1E"/>
        </w:rPr>
        <w:t xml:space="preserve">Is activation of signal transducer and activator of transcription 3 (STAT3) via </w:t>
      </w:r>
    </w:p>
    <w:p w14:paraId="6F7F017A" w14:textId="77777777" w:rsidR="00FD076F" w:rsidRDefault="00FD076F" w:rsidP="00FD076F">
      <w:pPr>
        <w:pStyle w:val="NormalWeb"/>
        <w:shd w:val="clear" w:color="auto" w:fill="FFFFFF"/>
      </w:pPr>
      <w:r>
        <w:rPr>
          <w:rFonts w:ascii="TimesNewRomanPSMT" w:hAnsi="TimesNewRomanPSMT"/>
          <w:color w:val="1E1E1E"/>
        </w:rPr>
        <w:t>interleukin-6 (IL-6) trans-</w:t>
      </w:r>
      <w:proofErr w:type="spellStart"/>
      <w:r>
        <w:rPr>
          <w:rFonts w:ascii="TimesNewRomanPSMT" w:hAnsi="TimesNewRomanPSMT"/>
          <w:color w:val="1E1E1E"/>
        </w:rPr>
        <w:t>signaling</w:t>
      </w:r>
      <w:proofErr w:type="spellEnd"/>
      <w:r>
        <w:rPr>
          <w:rFonts w:ascii="TimesNewRomanPSMT" w:hAnsi="TimesNewRomanPSMT"/>
          <w:color w:val="1E1E1E"/>
        </w:rPr>
        <w:t xml:space="preserve"> involved in fibrosis of endometriosis? </w:t>
      </w:r>
    </w:p>
    <w:p w14:paraId="766888D2" w14:textId="77777777" w:rsidR="00FD076F" w:rsidRDefault="00FD076F" w:rsidP="00FD076F">
      <w:pPr>
        <w:pStyle w:val="NormalWeb"/>
        <w:shd w:val="clear" w:color="auto" w:fill="FFFFFF"/>
      </w:pPr>
      <w:r>
        <w:rPr>
          <w:rFonts w:ascii="TimesNewRomanPS" w:hAnsi="TimesNewRomanPS"/>
          <w:b/>
          <w:bCs/>
          <w:color w:val="1E1E1E"/>
        </w:rPr>
        <w:t xml:space="preserve">Summary answer: </w:t>
      </w:r>
      <w:r>
        <w:rPr>
          <w:rFonts w:ascii="TimesNewRomanPSMT" w:hAnsi="TimesNewRomanPSMT"/>
          <w:color w:val="1E1E1E"/>
        </w:rPr>
        <w:t>Persistent activation of STAT3 via IL-6 trans-</w:t>
      </w:r>
      <w:proofErr w:type="spellStart"/>
      <w:r>
        <w:rPr>
          <w:rFonts w:ascii="TimesNewRomanPSMT" w:hAnsi="TimesNewRomanPSMT"/>
          <w:color w:val="1E1E1E"/>
        </w:rPr>
        <w:t>signaling</w:t>
      </w:r>
      <w:proofErr w:type="spellEnd"/>
      <w:r>
        <w:rPr>
          <w:rFonts w:ascii="TimesNewRomanPSMT" w:hAnsi="TimesNewRomanPSMT"/>
          <w:color w:val="1E1E1E"/>
        </w:rPr>
        <w:t xml:space="preserve"> is involved in fibrosis of endometriosis. </w:t>
      </w:r>
    </w:p>
    <w:p w14:paraId="2355E8E3" w14:textId="77777777" w:rsidR="00FD076F" w:rsidRDefault="00FD076F" w:rsidP="00FD076F">
      <w:pPr>
        <w:pStyle w:val="NormalWeb"/>
        <w:shd w:val="clear" w:color="auto" w:fill="FFFFFF"/>
      </w:pPr>
      <w:r>
        <w:rPr>
          <w:rFonts w:ascii="TimesNewRomanPS" w:hAnsi="TimesNewRomanPS"/>
          <w:b/>
          <w:bCs/>
          <w:color w:val="1E1E1E"/>
        </w:rPr>
        <w:t xml:space="preserve">What is known already: </w:t>
      </w:r>
      <w:r>
        <w:rPr>
          <w:rFonts w:ascii="TimesNewRomanPSMT" w:hAnsi="TimesNewRomanPSMT"/>
          <w:color w:val="1E1E1E"/>
        </w:rPr>
        <w:t xml:space="preserve">Our previous study showed that sustained low-grade inflammation promotes a fibrotic phenotype in endometriotic stromal cells. However, the underlying mechanisms of the establishment of non-resolving, low-grade inflammation in endometriosis remain to be clarified. </w:t>
      </w:r>
    </w:p>
    <w:p w14:paraId="31D40509" w14:textId="77777777" w:rsidR="00FD076F" w:rsidRDefault="00FD076F" w:rsidP="00FD076F">
      <w:pPr>
        <w:pStyle w:val="NormalWeb"/>
        <w:shd w:val="clear" w:color="auto" w:fill="FFFFFF"/>
      </w:pPr>
      <w:r>
        <w:rPr>
          <w:rFonts w:ascii="TimesNewRomanPS" w:hAnsi="TimesNewRomanPS"/>
          <w:b/>
          <w:bCs/>
          <w:color w:val="1E1E1E"/>
        </w:rPr>
        <w:t xml:space="preserve">Study design, size, duration: </w:t>
      </w:r>
      <w:r>
        <w:rPr>
          <w:rFonts w:ascii="TimesNewRomanPSMT" w:hAnsi="TimesNewRomanPSMT"/>
          <w:color w:val="1E1E1E"/>
        </w:rPr>
        <w:t xml:space="preserve">Endometrial and/or endometriotic samples of 60 patients who had histological evidence of deep endometriosis and endometrial samples from 32 healthy fertile women were </w:t>
      </w:r>
      <w:proofErr w:type="spellStart"/>
      <w:r>
        <w:rPr>
          <w:rFonts w:ascii="TimesNewRomanPSMT" w:hAnsi="TimesNewRomanPSMT"/>
          <w:color w:val="1E1E1E"/>
        </w:rPr>
        <w:t>analyzed</w:t>
      </w:r>
      <w:proofErr w:type="spellEnd"/>
      <w:r>
        <w:rPr>
          <w:rFonts w:ascii="TimesNewRomanPSMT" w:hAnsi="TimesNewRomanPSMT"/>
          <w:color w:val="1E1E1E"/>
        </w:rPr>
        <w:t xml:space="preserve">. </w:t>
      </w:r>
    </w:p>
    <w:p w14:paraId="2DD2096E" w14:textId="77777777" w:rsidR="00FD076F" w:rsidRDefault="00FD076F" w:rsidP="00FD076F">
      <w:pPr>
        <w:pStyle w:val="NormalWeb"/>
        <w:shd w:val="clear" w:color="auto" w:fill="FFFFFF"/>
      </w:pPr>
      <w:r>
        <w:rPr>
          <w:rFonts w:ascii="TimesNewRomanPS" w:hAnsi="TimesNewRomanPS"/>
          <w:b/>
          <w:bCs/>
          <w:color w:val="1E1E1E"/>
        </w:rPr>
        <w:t xml:space="preserve">Participants/materials, setting, methods: </w:t>
      </w:r>
      <w:r>
        <w:rPr>
          <w:rFonts w:ascii="TimesNewRomanPSMT" w:hAnsi="TimesNewRomanPSMT"/>
          <w:color w:val="1E1E1E"/>
        </w:rPr>
        <w:t>The effects of priming with ligands of Toll-like receptors (TLRs) 2, 3 and 4 on secretion of inflammatory mediators (</w:t>
      </w:r>
      <w:proofErr w:type="spellStart"/>
      <w:r>
        <w:rPr>
          <w:rFonts w:ascii="TimesNewRomanPSMT" w:hAnsi="TimesNewRomanPSMT"/>
          <w:color w:val="1E1E1E"/>
        </w:rPr>
        <w:t>tumor</w:t>
      </w:r>
      <w:proofErr w:type="spellEnd"/>
      <w:r>
        <w:rPr>
          <w:rFonts w:ascii="TimesNewRomanPSMT" w:hAnsi="TimesNewRomanPSMT"/>
          <w:color w:val="1E1E1E"/>
        </w:rPr>
        <w:t xml:space="preserve"> necrosis factor-α, C- X-C motif chemokine ligand-10 [CXCL-10], IL6 and IL-10) after a second challenge with TLR ligands in endometrial and endometriotic stromal cells were investigated. Then, the effects of IL- 6/soluble (s) IL-6 receptor (R)/STAT3 </w:t>
      </w:r>
      <w:proofErr w:type="spellStart"/>
      <w:r>
        <w:rPr>
          <w:rFonts w:ascii="TimesNewRomanPSMT" w:hAnsi="TimesNewRomanPSMT"/>
          <w:color w:val="1E1E1E"/>
        </w:rPr>
        <w:t>signaling</w:t>
      </w:r>
      <w:proofErr w:type="spellEnd"/>
      <w:r>
        <w:rPr>
          <w:rFonts w:ascii="TimesNewRomanPSMT" w:hAnsi="TimesNewRomanPSMT"/>
          <w:color w:val="1E1E1E"/>
        </w:rPr>
        <w:t xml:space="preserve">, as well as inhibition of STAT3 activation by knockdown of STAT3 or pharmacological inhibition (S3I-201), on the pro-fibrotic phenotype in endometrial and endometriotic stromal cells in vitro were investigated. </w:t>
      </w:r>
    </w:p>
    <w:p w14:paraId="6DC08EA9" w14:textId="77777777" w:rsidR="00FD076F" w:rsidRDefault="00FD076F" w:rsidP="00FD076F">
      <w:pPr>
        <w:pStyle w:val="NormalWeb"/>
        <w:shd w:val="clear" w:color="auto" w:fill="FFFFFF"/>
      </w:pPr>
      <w:r>
        <w:rPr>
          <w:rFonts w:ascii="TimesNewRomanPS" w:hAnsi="TimesNewRomanPS"/>
          <w:b/>
          <w:bCs/>
          <w:color w:val="1E1E1E"/>
        </w:rPr>
        <w:t xml:space="preserve">Main results and the role of chance: </w:t>
      </w:r>
      <w:r>
        <w:rPr>
          <w:rFonts w:ascii="TimesNewRomanPSMT" w:hAnsi="TimesNewRomanPSMT"/>
          <w:color w:val="1E1E1E"/>
        </w:rPr>
        <w:t xml:space="preserve">Priming with TLR ligands for 4 h had no significant effects, whereas 24 h of priming significantly decreased secretion of IL-6, after a second challenge in endometrial stromal cells of healthy women. In endometriotic stromal cells, whereas 24 h of priming had no significant effects, priming with TLR ligands for 4 h significantly increased secretion of IL-6 after a second challenge. IL-6/soluble IL-6 receptor (sIL-6R) induced a pro-fibrotic phenotype (cell proliferation, collagen type I synthesis, α-smooth muscle actin positive stress </w:t>
      </w:r>
      <w:proofErr w:type="spellStart"/>
      <w:r>
        <w:rPr>
          <w:rFonts w:ascii="TimesNewRomanPSMT" w:hAnsi="TimesNewRomanPSMT"/>
          <w:color w:val="1E1E1E"/>
        </w:rPr>
        <w:t>fibers</w:t>
      </w:r>
      <w:proofErr w:type="spellEnd"/>
      <w:r>
        <w:rPr>
          <w:rFonts w:ascii="TimesNewRomanPSMT" w:hAnsi="TimesNewRomanPSMT"/>
          <w:color w:val="1E1E1E"/>
        </w:rPr>
        <w:t>, cell migration and collagen gel contraction) as well as nuclear factor-kappa B (NF-</w:t>
      </w:r>
      <w:proofErr w:type="spellStart"/>
      <w:r>
        <w:rPr>
          <w:rFonts w:ascii="TimesNewRomanPSMT" w:hAnsi="TimesNewRomanPSMT"/>
          <w:color w:val="1E1E1E"/>
        </w:rPr>
        <w:t>κB</w:t>
      </w:r>
      <w:proofErr w:type="spellEnd"/>
      <w:r>
        <w:rPr>
          <w:rFonts w:ascii="TimesNewRomanPSMT" w:hAnsi="TimesNewRomanPSMT"/>
          <w:color w:val="1E1E1E"/>
        </w:rPr>
        <w:t>) activation of endometriotic stromal cells. In contrast, IL-6/sIL-6R had no significant effects on either a pro-fibrotic phenotype or NF-</w:t>
      </w:r>
      <w:proofErr w:type="spellStart"/>
      <w:r>
        <w:rPr>
          <w:rFonts w:ascii="TimesNewRomanPSMT" w:hAnsi="TimesNewRomanPSMT"/>
          <w:color w:val="1E1E1E"/>
        </w:rPr>
        <w:t>κB</w:t>
      </w:r>
      <w:proofErr w:type="spellEnd"/>
      <w:r>
        <w:rPr>
          <w:rFonts w:ascii="TimesNewRomanPSMT" w:hAnsi="TimesNewRomanPSMT"/>
          <w:color w:val="1E1E1E"/>
        </w:rPr>
        <w:t xml:space="preserve"> activation of endometrial stromal cells of healthy women. Stimulation with transforming growth factor (TGF)-β1 and/or IL-6/sIL-6R for 1 h and 48 h activated </w:t>
      </w:r>
      <w:proofErr w:type="gramStart"/>
      <w:r>
        <w:rPr>
          <w:rFonts w:ascii="TimesNewRomanPSMT" w:hAnsi="TimesNewRomanPSMT"/>
          <w:color w:val="1E1E1E"/>
        </w:rPr>
        <w:t>STAT3, but</w:t>
      </w:r>
      <w:proofErr w:type="gramEnd"/>
      <w:r>
        <w:rPr>
          <w:rFonts w:ascii="TimesNewRomanPSMT" w:hAnsi="TimesNewRomanPSMT"/>
          <w:color w:val="1E1E1E"/>
        </w:rPr>
        <w:t xml:space="preserve"> induced very low or no suppressor of cytokine </w:t>
      </w:r>
      <w:proofErr w:type="spellStart"/>
      <w:r>
        <w:rPr>
          <w:rFonts w:ascii="TimesNewRomanPSMT" w:hAnsi="TimesNewRomanPSMT"/>
          <w:color w:val="1E1E1E"/>
        </w:rPr>
        <w:t>signaling</w:t>
      </w:r>
      <w:proofErr w:type="spellEnd"/>
      <w:r>
        <w:rPr>
          <w:rFonts w:ascii="TimesNewRomanPSMT" w:hAnsi="TimesNewRomanPSMT"/>
          <w:color w:val="1E1E1E"/>
        </w:rPr>
        <w:t xml:space="preserve"> (SOCS) 1 and 3 protein expression in endometriotic stromal cells. In endometrial stromal cells of healthy women, IL-6/sIL-6R-induced STAT3 and SOCS1/3 expression at 1 h, whereas no STAT3 activation was detected at 48 h. Knockdown of STAT3 gene or S3I-201 (a STAT3 inhibitor) decreased the IL-6/sIL-6R-induced pro-fibrotic phenotype as well as NF-</w:t>
      </w:r>
      <w:proofErr w:type="spellStart"/>
      <w:r>
        <w:rPr>
          <w:rFonts w:ascii="TimesNewRomanPSMT" w:hAnsi="TimesNewRomanPSMT"/>
          <w:color w:val="1E1E1E"/>
        </w:rPr>
        <w:t>κB</w:t>
      </w:r>
      <w:proofErr w:type="spellEnd"/>
      <w:r>
        <w:rPr>
          <w:rFonts w:ascii="TimesNewRomanPSMT" w:hAnsi="TimesNewRomanPSMT"/>
          <w:color w:val="1E1E1E"/>
        </w:rPr>
        <w:t xml:space="preserve"> activation and TGF-β1-induced cell proliferation of endometriotic stromal cells. </w:t>
      </w:r>
    </w:p>
    <w:p w14:paraId="0F2DD119" w14:textId="77777777" w:rsidR="00FD076F" w:rsidRDefault="00FD076F" w:rsidP="00FD076F">
      <w:pPr>
        <w:pStyle w:val="NormalWeb"/>
        <w:shd w:val="clear" w:color="auto" w:fill="FFFFFF"/>
      </w:pPr>
      <w:r>
        <w:rPr>
          <w:rFonts w:ascii="TimesNewRomanPS" w:hAnsi="TimesNewRomanPS"/>
          <w:b/>
          <w:bCs/>
          <w:color w:val="1E1E1E"/>
        </w:rPr>
        <w:lastRenderedPageBreak/>
        <w:t xml:space="preserve">Large scale data: </w:t>
      </w:r>
      <w:r>
        <w:rPr>
          <w:rFonts w:ascii="TimesNewRomanPSMT" w:hAnsi="TimesNewRomanPSMT"/>
          <w:color w:val="1E1E1E"/>
        </w:rPr>
        <w:t xml:space="preserve">N/A. </w:t>
      </w:r>
    </w:p>
    <w:p w14:paraId="6BBB6E8B" w14:textId="77777777" w:rsidR="00FD076F" w:rsidRDefault="00FD076F" w:rsidP="00FD076F">
      <w:pPr>
        <w:pStyle w:val="NormalWeb"/>
        <w:shd w:val="clear" w:color="auto" w:fill="FFFFFF"/>
      </w:pPr>
      <w:r>
        <w:rPr>
          <w:rFonts w:ascii="TimesNewRomanPS" w:hAnsi="TimesNewRomanPS"/>
          <w:b/>
          <w:bCs/>
          <w:color w:val="1E1E1E"/>
        </w:rPr>
        <w:t xml:space="preserve">Limitations, reasons for caution: </w:t>
      </w:r>
      <w:r>
        <w:rPr>
          <w:rFonts w:ascii="TimesNewRomanPSMT" w:hAnsi="TimesNewRomanPSMT"/>
          <w:color w:val="1E1E1E"/>
        </w:rPr>
        <w:t xml:space="preserve">In vivo studies are required to confirm the present in vitro results. However, it remains challenging to mimic non-resolving chronic inflammation in animal models, as active inflammation can resolve spontaneously. </w:t>
      </w:r>
    </w:p>
    <w:p w14:paraId="108CA8C2" w14:textId="77777777" w:rsidR="00FD076F" w:rsidRDefault="00FD076F" w:rsidP="00FD076F">
      <w:pPr>
        <w:pStyle w:val="NormalWeb"/>
        <w:shd w:val="clear" w:color="auto" w:fill="FFFFFF"/>
      </w:pPr>
      <w:r>
        <w:rPr>
          <w:rFonts w:ascii="TimesNewRomanPS" w:hAnsi="TimesNewRomanPS"/>
          <w:b/>
          <w:bCs/>
          <w:color w:val="1E1E1E"/>
        </w:rPr>
        <w:t xml:space="preserve">Wider implications of the findings: </w:t>
      </w:r>
      <w:r>
        <w:rPr>
          <w:rFonts w:ascii="TimesNewRomanPSMT" w:hAnsi="TimesNewRomanPSMT"/>
          <w:color w:val="1E1E1E"/>
        </w:rPr>
        <w:t xml:space="preserve">Dysfunction of negative regulators of IL-6/sIL-6R/STAT3 </w:t>
      </w:r>
      <w:proofErr w:type="spellStart"/>
      <w:r>
        <w:rPr>
          <w:rFonts w:ascii="TimesNewRomanPSMT" w:hAnsi="TimesNewRomanPSMT"/>
          <w:color w:val="1E1E1E"/>
        </w:rPr>
        <w:t>signaling</w:t>
      </w:r>
      <w:proofErr w:type="spellEnd"/>
      <w:r>
        <w:rPr>
          <w:rFonts w:ascii="TimesNewRomanPSMT" w:hAnsi="TimesNewRomanPSMT"/>
          <w:color w:val="1E1E1E"/>
        </w:rPr>
        <w:t xml:space="preserve"> may cause persistent activation of STAT3 in endometriosis. Since STAT3 activation in the endometrium is essential for successful embryo implantation, treatment with STAT3 inhibitors would not be appropriate for women wishing to conceive. However, targeting impaired negative regulation of IL-6/sIL-6R/STAT3 </w:t>
      </w:r>
      <w:proofErr w:type="spellStart"/>
      <w:r>
        <w:rPr>
          <w:rFonts w:ascii="TimesNewRomanPSMT" w:hAnsi="TimesNewRomanPSMT"/>
          <w:color w:val="1E1E1E"/>
        </w:rPr>
        <w:t>signaling</w:t>
      </w:r>
      <w:proofErr w:type="spellEnd"/>
      <w:r>
        <w:rPr>
          <w:rFonts w:ascii="TimesNewRomanPSMT" w:hAnsi="TimesNewRomanPSMT"/>
          <w:color w:val="1E1E1E"/>
        </w:rPr>
        <w:t xml:space="preserve"> may still represent a promising avenue for the treatment of endometriosis. </w:t>
      </w:r>
    </w:p>
    <w:p w14:paraId="7F32E16E" w14:textId="77777777" w:rsidR="00FD076F" w:rsidRDefault="00FD076F" w:rsidP="00FD076F">
      <w:pPr>
        <w:pStyle w:val="NormalWeb"/>
        <w:shd w:val="clear" w:color="auto" w:fill="FFFFFF"/>
      </w:pPr>
      <w:r>
        <w:rPr>
          <w:rFonts w:ascii="TimesNewRomanPS" w:hAnsi="TimesNewRomanPS"/>
          <w:b/>
          <w:bCs/>
          <w:color w:val="1E1E1E"/>
        </w:rPr>
        <w:t xml:space="preserve">Study funding/competing interest(s): </w:t>
      </w:r>
      <w:r>
        <w:rPr>
          <w:rFonts w:ascii="TimesNewRomanPSMT" w:hAnsi="TimesNewRomanPSMT"/>
          <w:color w:val="1E1E1E"/>
        </w:rPr>
        <w:t>This study was supported in part by the KARL STORZ SE &amp; Co. KG (</w:t>
      </w:r>
      <w:proofErr w:type="spellStart"/>
      <w:r>
        <w:rPr>
          <w:rFonts w:ascii="TimesNewRomanPSMT" w:hAnsi="TimesNewRomanPSMT"/>
          <w:color w:val="1E1E1E"/>
        </w:rPr>
        <w:t>Tuttlingen</w:t>
      </w:r>
      <w:proofErr w:type="spellEnd"/>
      <w:r>
        <w:rPr>
          <w:rFonts w:ascii="TimesNewRomanPSMT" w:hAnsi="TimesNewRomanPSMT"/>
          <w:color w:val="1E1E1E"/>
        </w:rPr>
        <w:t xml:space="preserve">, Germany). There are no conflicts of interest. </w:t>
      </w:r>
    </w:p>
    <w:p w14:paraId="5DFF39B0" w14:textId="77777777" w:rsidR="00FD076F" w:rsidRDefault="00FD076F" w:rsidP="00FD076F">
      <w:pPr>
        <w:pStyle w:val="NormalWeb"/>
        <w:shd w:val="clear" w:color="auto" w:fill="FFFFFF"/>
      </w:pPr>
      <w:r>
        <w:rPr>
          <w:rFonts w:ascii="TimesNewRomanPS" w:hAnsi="TimesNewRomanPS"/>
          <w:b/>
          <w:bCs/>
          <w:color w:val="1E1E1E"/>
        </w:rPr>
        <w:t xml:space="preserve">Keywords: </w:t>
      </w:r>
      <w:r>
        <w:rPr>
          <w:rFonts w:ascii="TimesNewRomanPSMT" w:hAnsi="TimesNewRomanPSMT"/>
          <w:color w:val="1E1E1E"/>
        </w:rPr>
        <w:t xml:space="preserve">endometriosis; endometrium; fibrosis; inflammation; signal transducer and activator of transcription 3. </w:t>
      </w:r>
    </w:p>
    <w:p w14:paraId="4FDA9A40"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076F"/>
    <w:rsid w:val="001C7F88"/>
    <w:rsid w:val="00432D50"/>
    <w:rsid w:val="00875F78"/>
    <w:rsid w:val="00A74000"/>
    <w:rsid w:val="00B02158"/>
    <w:rsid w:val="00BE7B39"/>
    <w:rsid w:val="00D10F9D"/>
    <w:rsid w:val="00D30F83"/>
    <w:rsid w:val="00D7461F"/>
    <w:rsid w:val="00DB67B4"/>
    <w:rsid w:val="00F21CD6"/>
    <w:rsid w:val="00FD076F"/>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38BB871"/>
  <w15:chartTrackingRefBased/>
  <w15:docId w15:val="{BDDEDD5E-20FD-394E-AE31-1EFF819F98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D076F"/>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0647702">
      <w:bodyDiv w:val="1"/>
      <w:marLeft w:val="0"/>
      <w:marRight w:val="0"/>
      <w:marTop w:val="0"/>
      <w:marBottom w:val="0"/>
      <w:divBdr>
        <w:top w:val="none" w:sz="0" w:space="0" w:color="auto"/>
        <w:left w:val="none" w:sz="0" w:space="0" w:color="auto"/>
        <w:bottom w:val="none" w:sz="0" w:space="0" w:color="auto"/>
        <w:right w:val="none" w:sz="0" w:space="0" w:color="auto"/>
      </w:divBdr>
      <w:divsChild>
        <w:div w:id="1175801009">
          <w:marLeft w:val="0"/>
          <w:marRight w:val="0"/>
          <w:marTop w:val="0"/>
          <w:marBottom w:val="0"/>
          <w:divBdr>
            <w:top w:val="none" w:sz="0" w:space="0" w:color="auto"/>
            <w:left w:val="none" w:sz="0" w:space="0" w:color="auto"/>
            <w:bottom w:val="none" w:sz="0" w:space="0" w:color="auto"/>
            <w:right w:val="none" w:sz="0" w:space="0" w:color="auto"/>
          </w:divBdr>
          <w:divsChild>
            <w:div w:id="1106004946">
              <w:marLeft w:val="0"/>
              <w:marRight w:val="0"/>
              <w:marTop w:val="0"/>
              <w:marBottom w:val="0"/>
              <w:divBdr>
                <w:top w:val="none" w:sz="0" w:space="0" w:color="auto"/>
                <w:left w:val="none" w:sz="0" w:space="0" w:color="auto"/>
                <w:bottom w:val="none" w:sz="0" w:space="0" w:color="auto"/>
                <w:right w:val="none" w:sz="0" w:space="0" w:color="auto"/>
              </w:divBdr>
              <w:divsChild>
                <w:div w:id="1116681288">
                  <w:marLeft w:val="0"/>
                  <w:marRight w:val="0"/>
                  <w:marTop w:val="0"/>
                  <w:marBottom w:val="0"/>
                  <w:divBdr>
                    <w:top w:val="none" w:sz="0" w:space="0" w:color="auto"/>
                    <w:left w:val="none" w:sz="0" w:space="0" w:color="auto"/>
                    <w:bottom w:val="none" w:sz="0" w:space="0" w:color="auto"/>
                    <w:right w:val="none" w:sz="0" w:space="0" w:color="auto"/>
                  </w:divBdr>
                </w:div>
              </w:divsChild>
            </w:div>
            <w:div w:id="1288779471">
              <w:marLeft w:val="0"/>
              <w:marRight w:val="0"/>
              <w:marTop w:val="0"/>
              <w:marBottom w:val="0"/>
              <w:divBdr>
                <w:top w:val="none" w:sz="0" w:space="0" w:color="auto"/>
                <w:left w:val="none" w:sz="0" w:space="0" w:color="auto"/>
                <w:bottom w:val="none" w:sz="0" w:space="0" w:color="auto"/>
                <w:right w:val="none" w:sz="0" w:space="0" w:color="auto"/>
              </w:divBdr>
              <w:divsChild>
                <w:div w:id="457261900">
                  <w:marLeft w:val="0"/>
                  <w:marRight w:val="0"/>
                  <w:marTop w:val="0"/>
                  <w:marBottom w:val="0"/>
                  <w:divBdr>
                    <w:top w:val="none" w:sz="0" w:space="0" w:color="auto"/>
                    <w:left w:val="none" w:sz="0" w:space="0" w:color="auto"/>
                    <w:bottom w:val="none" w:sz="0" w:space="0" w:color="auto"/>
                    <w:right w:val="none" w:sz="0" w:space="0" w:color="auto"/>
                  </w:divBdr>
                  <w:divsChild>
                    <w:div w:id="132540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5911617">
          <w:marLeft w:val="0"/>
          <w:marRight w:val="0"/>
          <w:marTop w:val="0"/>
          <w:marBottom w:val="0"/>
          <w:divBdr>
            <w:top w:val="none" w:sz="0" w:space="0" w:color="auto"/>
            <w:left w:val="none" w:sz="0" w:space="0" w:color="auto"/>
            <w:bottom w:val="none" w:sz="0" w:space="0" w:color="auto"/>
            <w:right w:val="none" w:sz="0" w:space="0" w:color="auto"/>
          </w:divBdr>
          <w:divsChild>
            <w:div w:id="1634871222">
              <w:marLeft w:val="0"/>
              <w:marRight w:val="0"/>
              <w:marTop w:val="0"/>
              <w:marBottom w:val="0"/>
              <w:divBdr>
                <w:top w:val="none" w:sz="0" w:space="0" w:color="auto"/>
                <w:left w:val="none" w:sz="0" w:space="0" w:color="auto"/>
                <w:bottom w:val="none" w:sz="0" w:space="0" w:color="auto"/>
                <w:right w:val="none" w:sz="0" w:space="0" w:color="auto"/>
              </w:divBdr>
              <w:divsChild>
                <w:div w:id="538010680">
                  <w:marLeft w:val="0"/>
                  <w:marRight w:val="0"/>
                  <w:marTop w:val="0"/>
                  <w:marBottom w:val="0"/>
                  <w:divBdr>
                    <w:top w:val="none" w:sz="0" w:space="0" w:color="auto"/>
                    <w:left w:val="none" w:sz="0" w:space="0" w:color="auto"/>
                    <w:bottom w:val="none" w:sz="0" w:space="0" w:color="auto"/>
                    <w:right w:val="none" w:sz="0" w:space="0" w:color="auto"/>
                  </w:divBdr>
                  <w:divsChild>
                    <w:div w:id="1281499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631</Words>
  <Characters>3597</Characters>
  <Application>Microsoft Office Word</Application>
  <DocSecurity>0</DocSecurity>
  <Lines>29</Lines>
  <Paragraphs>8</Paragraphs>
  <ScaleCrop>false</ScaleCrop>
  <Company/>
  <LinksUpToDate>false</LinksUpToDate>
  <CharactersWithSpaces>4220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2022-07-30T18:44:00Z</dcterms:created>
  <dcterms:modified xsi:type="dcterms:W3CDTF">2022-07-30T18:44:00Z</dcterms:modified>
</cp:coreProperties>
</file>