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371D5" w14:textId="77777777" w:rsidR="00CA0B48" w:rsidRDefault="00CA0B48" w:rsidP="00CA0B48">
      <w:pPr>
        <w:pStyle w:val="NormalWeb"/>
      </w:pPr>
      <w:r>
        <w:rPr>
          <w:rFonts w:ascii="TimesNewRomanPSMT" w:hAnsi="TimesNewRomanPSMT"/>
        </w:rPr>
        <w:t xml:space="preserve">48) </w:t>
      </w:r>
      <w:r>
        <w:rPr>
          <w:rFonts w:ascii="TimesNewRomanPSMT" w:hAnsi="TimesNewRomanPSMT"/>
          <w:color w:val="0070BA"/>
        </w:rPr>
        <w:t xml:space="preserve">Randomized study on the effectiveness of </w:t>
      </w:r>
      <w:proofErr w:type="spellStart"/>
      <w:r>
        <w:rPr>
          <w:rFonts w:ascii="TimesNewRomanPSMT" w:hAnsi="TimesNewRomanPSMT"/>
          <w:color w:val="0070BA"/>
        </w:rPr>
        <w:t>nomegestrol</w:t>
      </w:r>
      <w:proofErr w:type="spellEnd"/>
      <w:r>
        <w:rPr>
          <w:rFonts w:ascii="TimesNewRomanPSMT" w:hAnsi="TimesNewRomanPSMT"/>
          <w:color w:val="0070BA"/>
        </w:rPr>
        <w:t xml:space="preserve"> acetate plus 17β-</w:t>
      </w:r>
      <w:proofErr w:type="spellStart"/>
      <w:r>
        <w:rPr>
          <w:rFonts w:ascii="TimesNewRomanPSMT" w:hAnsi="TimesNewRomanPSMT"/>
          <w:color w:val="0070BA"/>
        </w:rPr>
        <w:t>estradiol</w:t>
      </w:r>
      <w:proofErr w:type="spellEnd"/>
      <w:r>
        <w:rPr>
          <w:rFonts w:ascii="TimesNewRomanPSMT" w:hAnsi="TimesNewRomanPSMT"/>
          <w:color w:val="0070BA"/>
        </w:rPr>
        <w:t xml:space="preserve"> oral contraceptive versus </w:t>
      </w:r>
      <w:proofErr w:type="spellStart"/>
      <w:r>
        <w:rPr>
          <w:rFonts w:ascii="TimesNewRomanPSMT" w:hAnsi="TimesNewRomanPSMT"/>
          <w:color w:val="0070BA"/>
        </w:rPr>
        <w:t>dienogest</w:t>
      </w:r>
      <w:proofErr w:type="spellEnd"/>
      <w:r>
        <w:rPr>
          <w:rFonts w:ascii="TimesNewRomanPSMT" w:hAnsi="TimesNewRomanPSMT"/>
          <w:color w:val="0070BA"/>
        </w:rPr>
        <w:t xml:space="preserve"> oral pill in women with suspected endometriosis-associated chronic pelvic pain. </w:t>
      </w:r>
    </w:p>
    <w:p w14:paraId="54E2E373" w14:textId="77777777" w:rsidR="00CA0B48" w:rsidRDefault="00CA0B48" w:rsidP="00CA0B48">
      <w:pPr>
        <w:pStyle w:val="NormalWeb"/>
      </w:pPr>
      <w:r>
        <w:rPr>
          <w:rFonts w:ascii="TimesNewRomanPSMT" w:hAnsi="TimesNewRomanPSMT"/>
          <w:color w:val="1E1E1E"/>
        </w:rPr>
        <w:t xml:space="preserve">Caruso S, </w:t>
      </w:r>
      <w:proofErr w:type="spellStart"/>
      <w:r>
        <w:rPr>
          <w:rFonts w:ascii="TimesNewRomanPSMT" w:hAnsi="TimesNewRomanPSMT"/>
          <w:color w:val="1E1E1E"/>
        </w:rPr>
        <w:t>Cianci</w:t>
      </w:r>
      <w:proofErr w:type="spellEnd"/>
      <w:r>
        <w:rPr>
          <w:rFonts w:ascii="TimesNewRomanPSMT" w:hAnsi="TimesNewRomanPSMT"/>
          <w:color w:val="1E1E1E"/>
        </w:rPr>
        <w:t xml:space="preserve"> A, </w:t>
      </w:r>
      <w:proofErr w:type="spellStart"/>
      <w:r>
        <w:rPr>
          <w:rFonts w:ascii="TimesNewRomanPSMT" w:hAnsi="TimesNewRomanPSMT"/>
          <w:color w:val="1E1E1E"/>
        </w:rPr>
        <w:t>Iraci</w:t>
      </w:r>
      <w:proofErr w:type="spellEnd"/>
      <w:r>
        <w:rPr>
          <w:rFonts w:ascii="TimesNewRomanPSMT" w:hAnsi="TimesNewRomanPSMT"/>
          <w:color w:val="1E1E1E"/>
        </w:rPr>
        <w:t xml:space="preserve"> </w:t>
      </w:r>
      <w:proofErr w:type="spellStart"/>
      <w:r>
        <w:rPr>
          <w:rFonts w:ascii="TimesNewRomanPSMT" w:hAnsi="TimesNewRomanPSMT"/>
          <w:color w:val="1E1E1E"/>
        </w:rPr>
        <w:t>Sareri</w:t>
      </w:r>
      <w:proofErr w:type="spellEnd"/>
      <w:r>
        <w:rPr>
          <w:rFonts w:ascii="TimesNewRomanPSMT" w:hAnsi="TimesNewRomanPSMT"/>
          <w:color w:val="1E1E1E"/>
        </w:rPr>
        <w:t xml:space="preserve"> M, </w:t>
      </w:r>
      <w:proofErr w:type="spellStart"/>
      <w:r>
        <w:rPr>
          <w:rFonts w:ascii="TimesNewRomanPSMT" w:hAnsi="TimesNewRomanPSMT"/>
          <w:color w:val="1E1E1E"/>
        </w:rPr>
        <w:t>Panella</w:t>
      </w:r>
      <w:proofErr w:type="spellEnd"/>
      <w:r>
        <w:rPr>
          <w:rFonts w:ascii="TimesNewRomanPSMT" w:hAnsi="TimesNewRomanPSMT"/>
          <w:color w:val="1E1E1E"/>
        </w:rPr>
        <w:t xml:space="preserve"> M, Caruso G, </w:t>
      </w:r>
      <w:proofErr w:type="spellStart"/>
      <w:r>
        <w:rPr>
          <w:rFonts w:ascii="TimesNewRomanPSMT" w:hAnsi="TimesNewRomanPSMT"/>
          <w:color w:val="1E1E1E"/>
        </w:rPr>
        <w:t>Cianci</w:t>
      </w:r>
      <w:proofErr w:type="spellEnd"/>
      <w:r>
        <w:rPr>
          <w:rFonts w:ascii="TimesNewRomanPSMT" w:hAnsi="TimesNewRomanPSMT"/>
          <w:color w:val="1E1E1E"/>
        </w:rPr>
        <w:t xml:space="preserve"> S.</w:t>
      </w:r>
      <w:r>
        <w:rPr>
          <w:rFonts w:ascii="TimesNewRomanPSMT" w:hAnsi="TimesNewRomanPSMT"/>
          <w:color w:val="4C7F54"/>
        </w:rPr>
        <w:t xml:space="preserve">BMC </w:t>
      </w:r>
      <w:proofErr w:type="spellStart"/>
      <w:r>
        <w:rPr>
          <w:rFonts w:ascii="TimesNewRomanPSMT" w:hAnsi="TimesNewRomanPSMT"/>
          <w:color w:val="4C7F54"/>
        </w:rPr>
        <w:t>Womens</w:t>
      </w:r>
      <w:proofErr w:type="spellEnd"/>
      <w:r>
        <w:rPr>
          <w:rFonts w:ascii="TimesNewRomanPSMT" w:hAnsi="TimesNewRomanPSMT"/>
          <w:color w:val="4C7F54"/>
        </w:rPr>
        <w:t xml:space="preserve"> Health. 2022 May 10;22(1):146. </w:t>
      </w:r>
      <w:proofErr w:type="spellStart"/>
      <w:r>
        <w:rPr>
          <w:rFonts w:ascii="TimesNewRomanPSMT" w:hAnsi="TimesNewRomanPSMT"/>
          <w:color w:val="4C7F54"/>
        </w:rPr>
        <w:t>doi</w:t>
      </w:r>
      <w:proofErr w:type="spellEnd"/>
      <w:r>
        <w:rPr>
          <w:rFonts w:ascii="TimesNewRomanPSMT" w:hAnsi="TimesNewRomanPSMT"/>
          <w:color w:val="4C7F54"/>
        </w:rPr>
        <w:t xml:space="preserve">: 10.1186/s12905-022-01737-7.PMID: 35538479 </w:t>
      </w:r>
      <w:r>
        <w:rPr>
          <w:rFonts w:ascii="TimesNewRomanPS" w:hAnsi="TimesNewRomanPS"/>
          <w:b/>
          <w:bCs/>
          <w:color w:val="BF5400"/>
        </w:rPr>
        <w:t>Free PMC</w:t>
      </w:r>
      <w:r>
        <w:rPr>
          <w:rFonts w:ascii="TimesNewRomanPS" w:hAnsi="TimesNewRomanPS"/>
          <w:b/>
          <w:bCs/>
          <w:color w:val="BF5400"/>
        </w:rPr>
        <w:br/>
        <w:t xml:space="preserve">article. </w:t>
      </w:r>
      <w:r>
        <w:rPr>
          <w:rFonts w:ascii="TimesNewRomanPSMT" w:hAnsi="TimesNewRomanPSMT"/>
          <w:color w:val="4C7F54"/>
        </w:rPr>
        <w:t xml:space="preserve">Clinical Trial. </w:t>
      </w:r>
    </w:p>
    <w:p w14:paraId="1F3CA246" w14:textId="77777777" w:rsidR="00CA0B48" w:rsidRDefault="00CA0B48" w:rsidP="00CA0B48">
      <w:pPr>
        <w:pStyle w:val="NormalWeb"/>
        <w:shd w:val="clear" w:color="auto" w:fill="FFFFFF"/>
      </w:pPr>
      <w:r>
        <w:rPr>
          <w:rFonts w:ascii="TimesNewRomanPS" w:hAnsi="TimesNewRomanPS"/>
          <w:b/>
          <w:bCs/>
          <w:color w:val="1E1E1E"/>
        </w:rPr>
        <w:t xml:space="preserve">Abstract </w:t>
      </w:r>
    </w:p>
    <w:p w14:paraId="742A15B1" w14:textId="77777777" w:rsidR="00CA0B48" w:rsidRDefault="00CA0B48" w:rsidP="00CA0B48">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To evaluate the effects of a combined oral contraceptive containing 1.5 mg 17b- </w:t>
      </w:r>
      <w:proofErr w:type="spellStart"/>
      <w:r>
        <w:rPr>
          <w:rFonts w:ascii="TimesNewRomanPSMT" w:hAnsi="TimesNewRomanPSMT"/>
          <w:color w:val="1E1E1E"/>
        </w:rPr>
        <w:t>estradiol</w:t>
      </w:r>
      <w:proofErr w:type="spellEnd"/>
      <w:r>
        <w:rPr>
          <w:rFonts w:ascii="TimesNewRomanPSMT" w:hAnsi="TimesNewRomanPSMT"/>
          <w:color w:val="1E1E1E"/>
        </w:rPr>
        <w:t xml:space="preserve"> (E2) and 2.5 mg </w:t>
      </w:r>
      <w:proofErr w:type="spellStart"/>
      <w:r>
        <w:rPr>
          <w:rFonts w:ascii="TimesNewRomanPSMT" w:hAnsi="TimesNewRomanPSMT"/>
          <w:color w:val="1E1E1E"/>
        </w:rPr>
        <w:t>nomegestrol</w:t>
      </w:r>
      <w:proofErr w:type="spellEnd"/>
      <w:r>
        <w:rPr>
          <w:rFonts w:ascii="TimesNewRomanPSMT" w:hAnsi="TimesNewRomanPSMT"/>
          <w:color w:val="1E1E1E"/>
        </w:rPr>
        <w:t xml:space="preserve"> acetate (NOMAC) or 2 mg/daily </w:t>
      </w:r>
      <w:proofErr w:type="spellStart"/>
      <w:r>
        <w:rPr>
          <w:rFonts w:ascii="TimesNewRomanPSMT" w:hAnsi="TimesNewRomanPSMT"/>
          <w:color w:val="1E1E1E"/>
        </w:rPr>
        <w:t>dienogest</w:t>
      </w:r>
      <w:proofErr w:type="spellEnd"/>
      <w:r>
        <w:rPr>
          <w:rFonts w:ascii="TimesNewRomanPSMT" w:hAnsi="TimesNewRomanPSMT"/>
          <w:color w:val="1E1E1E"/>
        </w:rPr>
        <w:t xml:space="preserve"> (DNG) oral progestin on endometriosis-associated chronic pelvic pain (CPP) and on the quality of life (QoL) and sexual function, by a randomized study design. </w:t>
      </w:r>
    </w:p>
    <w:p w14:paraId="0D8F2555" w14:textId="77777777" w:rsidR="00CA0B48" w:rsidRDefault="00CA0B48" w:rsidP="00CA0B48">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The E2/NOMAC group and DNG group included 99 and 98 women, respectively. The levels of CPP were measured by the visual analogic scale (VAS). The QoL scores were investigated by the Short Form-36 questionnaire (SF-36). Finally, sexual function was studied using the Female Sexual Function Index (FSFI), while sexual distress was studied by the Female Sexual Distress Scale (FSDS). The study had 3, 6 and 12-month follow-ups. </w:t>
      </w:r>
    </w:p>
    <w:p w14:paraId="4797F56F" w14:textId="77777777" w:rsidR="00CA0B48" w:rsidRDefault="00CA0B48" w:rsidP="00CA0B48">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intra-group analysis showed an improvement of the VAS score from baseline to the 12-month follow-up in the women of both groups (p &lt; 0.001). The inter-group comparison showed a similar improvement of CPP (p = 0.06). Women on DNG had better SF-36 somatic (p &lt; 0.01) and FSFI scores (p &lt; 0.006) than women on E2/NOMAC at the 6- and 12-month follow- ups. </w:t>
      </w:r>
    </w:p>
    <w:p w14:paraId="2BAF8F13" w14:textId="77777777" w:rsidR="00CA0B48" w:rsidRDefault="00CA0B48" w:rsidP="00CA0B48">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The results support the efficacy of both hormonal treatments, even if DNG was more effective than E2/NOMAC in a limited intergroup comparison. </w:t>
      </w:r>
    </w:p>
    <w:p w14:paraId="09108706" w14:textId="77777777" w:rsidR="00CA0B48" w:rsidRDefault="00CA0B48" w:rsidP="00CA0B48">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17β-</w:t>
      </w:r>
      <w:proofErr w:type="spellStart"/>
      <w:r>
        <w:rPr>
          <w:rFonts w:ascii="TimesNewRomanPSMT" w:hAnsi="TimesNewRomanPSMT"/>
          <w:color w:val="1E1E1E"/>
        </w:rPr>
        <w:t>estradiol</w:t>
      </w:r>
      <w:proofErr w:type="spellEnd"/>
      <w:r>
        <w:rPr>
          <w:rFonts w:ascii="TimesNewRomanPSMT" w:hAnsi="TimesNewRomanPSMT"/>
          <w:color w:val="1E1E1E"/>
        </w:rPr>
        <w:t xml:space="preserve">; </w:t>
      </w:r>
      <w:proofErr w:type="spellStart"/>
      <w:r>
        <w:rPr>
          <w:rFonts w:ascii="TimesNewRomanPSMT" w:hAnsi="TimesNewRomanPSMT"/>
          <w:color w:val="1E1E1E"/>
        </w:rPr>
        <w:t>Dienogest</w:t>
      </w:r>
      <w:proofErr w:type="spellEnd"/>
      <w:r>
        <w:rPr>
          <w:rFonts w:ascii="TimesNewRomanPSMT" w:hAnsi="TimesNewRomanPSMT"/>
          <w:color w:val="1E1E1E"/>
        </w:rPr>
        <w:t xml:space="preserve">; Endometriosis-associated chronic pelvic pain; Hormonal contraceptives; </w:t>
      </w:r>
      <w:proofErr w:type="spellStart"/>
      <w:r>
        <w:rPr>
          <w:rFonts w:ascii="TimesNewRomanPSMT" w:hAnsi="TimesNewRomanPSMT"/>
          <w:color w:val="1E1E1E"/>
        </w:rPr>
        <w:t>Nomegestrol</w:t>
      </w:r>
      <w:proofErr w:type="spellEnd"/>
      <w:r>
        <w:rPr>
          <w:rFonts w:ascii="TimesNewRomanPSMT" w:hAnsi="TimesNewRomanPSMT"/>
          <w:color w:val="1E1E1E"/>
        </w:rPr>
        <w:t xml:space="preserve"> acetate; Quality of life; Sexual function. </w:t>
      </w:r>
    </w:p>
    <w:p w14:paraId="069E203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B48"/>
    <w:rsid w:val="001C7F88"/>
    <w:rsid w:val="00432D50"/>
    <w:rsid w:val="00875F78"/>
    <w:rsid w:val="00A74000"/>
    <w:rsid w:val="00B02158"/>
    <w:rsid w:val="00BE7B39"/>
    <w:rsid w:val="00CA0B48"/>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F85E03"/>
  <w15:chartTrackingRefBased/>
  <w15:docId w15:val="{25457F58-19EE-9043-8ED4-28AA3B71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0B4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059337">
      <w:bodyDiv w:val="1"/>
      <w:marLeft w:val="0"/>
      <w:marRight w:val="0"/>
      <w:marTop w:val="0"/>
      <w:marBottom w:val="0"/>
      <w:divBdr>
        <w:top w:val="none" w:sz="0" w:space="0" w:color="auto"/>
        <w:left w:val="none" w:sz="0" w:space="0" w:color="auto"/>
        <w:bottom w:val="none" w:sz="0" w:space="0" w:color="auto"/>
        <w:right w:val="none" w:sz="0" w:space="0" w:color="auto"/>
      </w:divBdr>
      <w:divsChild>
        <w:div w:id="1910723798">
          <w:marLeft w:val="0"/>
          <w:marRight w:val="0"/>
          <w:marTop w:val="0"/>
          <w:marBottom w:val="0"/>
          <w:divBdr>
            <w:top w:val="none" w:sz="0" w:space="0" w:color="auto"/>
            <w:left w:val="none" w:sz="0" w:space="0" w:color="auto"/>
            <w:bottom w:val="none" w:sz="0" w:space="0" w:color="auto"/>
            <w:right w:val="none" w:sz="0" w:space="0" w:color="auto"/>
          </w:divBdr>
          <w:divsChild>
            <w:div w:id="1943567102">
              <w:marLeft w:val="0"/>
              <w:marRight w:val="0"/>
              <w:marTop w:val="0"/>
              <w:marBottom w:val="0"/>
              <w:divBdr>
                <w:top w:val="none" w:sz="0" w:space="0" w:color="auto"/>
                <w:left w:val="none" w:sz="0" w:space="0" w:color="auto"/>
                <w:bottom w:val="none" w:sz="0" w:space="0" w:color="auto"/>
                <w:right w:val="none" w:sz="0" w:space="0" w:color="auto"/>
              </w:divBdr>
              <w:divsChild>
                <w:div w:id="2145002091">
                  <w:marLeft w:val="0"/>
                  <w:marRight w:val="0"/>
                  <w:marTop w:val="0"/>
                  <w:marBottom w:val="0"/>
                  <w:divBdr>
                    <w:top w:val="none" w:sz="0" w:space="0" w:color="auto"/>
                    <w:left w:val="none" w:sz="0" w:space="0" w:color="auto"/>
                    <w:bottom w:val="none" w:sz="0" w:space="0" w:color="auto"/>
                    <w:right w:val="none" w:sz="0" w:space="0" w:color="auto"/>
                  </w:divBdr>
                </w:div>
              </w:divsChild>
            </w:div>
            <w:div w:id="1472944417">
              <w:marLeft w:val="0"/>
              <w:marRight w:val="0"/>
              <w:marTop w:val="0"/>
              <w:marBottom w:val="0"/>
              <w:divBdr>
                <w:top w:val="none" w:sz="0" w:space="0" w:color="auto"/>
                <w:left w:val="none" w:sz="0" w:space="0" w:color="auto"/>
                <w:bottom w:val="none" w:sz="0" w:space="0" w:color="auto"/>
                <w:right w:val="none" w:sz="0" w:space="0" w:color="auto"/>
              </w:divBdr>
              <w:divsChild>
                <w:div w:id="961963728">
                  <w:marLeft w:val="0"/>
                  <w:marRight w:val="0"/>
                  <w:marTop w:val="0"/>
                  <w:marBottom w:val="0"/>
                  <w:divBdr>
                    <w:top w:val="none" w:sz="0" w:space="0" w:color="auto"/>
                    <w:left w:val="none" w:sz="0" w:space="0" w:color="auto"/>
                    <w:bottom w:val="none" w:sz="0" w:space="0" w:color="auto"/>
                    <w:right w:val="none" w:sz="0" w:space="0" w:color="auto"/>
                  </w:divBdr>
                  <w:divsChild>
                    <w:div w:id="213471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2022-07-30T18:46:00Z</dcterms:created>
  <dcterms:modified xsi:type="dcterms:W3CDTF">2022-07-30T18:47:00Z</dcterms:modified>
</cp:coreProperties>
</file>