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0C8AC" w14:textId="77777777" w:rsidR="00EA1E6C" w:rsidRDefault="00EA1E6C" w:rsidP="00EA1E6C">
      <w:pPr>
        <w:pStyle w:val="NormalWeb"/>
      </w:pPr>
      <w:r>
        <w:rPr>
          <w:rFonts w:ascii="TimesNewRomanPSMT" w:hAnsi="TimesNewRomanPSMT"/>
        </w:rPr>
        <w:t xml:space="preserve">51) </w:t>
      </w:r>
      <w:r>
        <w:rPr>
          <w:rFonts w:ascii="TimesNewRomanPSMT" w:hAnsi="TimesNewRomanPSMT"/>
          <w:color w:val="0070BA"/>
        </w:rPr>
        <w:t xml:space="preserve">'Guess who'? An Italian multicentric study on pigmentation traits prevalence in </w:t>
      </w:r>
      <w:r>
        <w:rPr>
          <w:rFonts w:ascii="TimesNewRomanPS" w:hAnsi="TimesNewRomanPS"/>
          <w:b/>
          <w:bCs/>
          <w:color w:val="0070BA"/>
        </w:rPr>
        <w:t xml:space="preserve">endometriosis </w:t>
      </w:r>
      <w:r>
        <w:rPr>
          <w:rFonts w:ascii="TimesNewRomanPSMT" w:hAnsi="TimesNewRomanPSMT"/>
          <w:color w:val="0070BA"/>
        </w:rPr>
        <w:t xml:space="preserve">localizations. </w:t>
      </w:r>
    </w:p>
    <w:p w14:paraId="60DF51FD" w14:textId="77777777" w:rsidR="00EA1E6C" w:rsidRDefault="00EA1E6C" w:rsidP="00EA1E6C">
      <w:pPr>
        <w:pStyle w:val="NormalWeb"/>
      </w:pPr>
      <w:proofErr w:type="spellStart"/>
      <w:r>
        <w:rPr>
          <w:rFonts w:ascii="TimesNewRomanPSMT" w:hAnsi="TimesNewRomanPSMT"/>
          <w:color w:val="1E1E1E"/>
        </w:rPr>
        <w:t>Salmeri</w:t>
      </w:r>
      <w:proofErr w:type="spellEnd"/>
      <w:r>
        <w:rPr>
          <w:rFonts w:ascii="TimesNewRomanPSMT" w:hAnsi="TimesNewRomanPSMT"/>
          <w:color w:val="1E1E1E"/>
        </w:rPr>
        <w:t xml:space="preserve"> N, </w:t>
      </w:r>
      <w:proofErr w:type="spellStart"/>
      <w:r>
        <w:rPr>
          <w:rFonts w:ascii="TimesNewRomanPSMT" w:hAnsi="TimesNewRomanPSMT"/>
          <w:color w:val="1E1E1E"/>
        </w:rPr>
        <w:t>Ottolina</w:t>
      </w:r>
      <w:proofErr w:type="spellEnd"/>
      <w:r>
        <w:rPr>
          <w:rFonts w:ascii="TimesNewRomanPSMT" w:hAnsi="TimesNewRomanPSMT"/>
          <w:color w:val="1E1E1E"/>
        </w:rPr>
        <w:t xml:space="preserve"> J, Bartiromo L, </w:t>
      </w:r>
      <w:proofErr w:type="spellStart"/>
      <w:r>
        <w:rPr>
          <w:rFonts w:ascii="TimesNewRomanPSMT" w:hAnsi="TimesNewRomanPSMT"/>
          <w:color w:val="1E1E1E"/>
        </w:rPr>
        <w:t>Schimberni</w:t>
      </w:r>
      <w:proofErr w:type="spellEnd"/>
      <w:r>
        <w:rPr>
          <w:rFonts w:ascii="TimesNewRomanPSMT" w:hAnsi="TimesNewRomanPSMT"/>
          <w:color w:val="1E1E1E"/>
        </w:rPr>
        <w:t xml:space="preserve"> M, </w:t>
      </w:r>
      <w:proofErr w:type="spellStart"/>
      <w:r>
        <w:rPr>
          <w:rFonts w:ascii="TimesNewRomanPSMT" w:hAnsi="TimesNewRomanPSMT"/>
          <w:color w:val="1E1E1E"/>
        </w:rPr>
        <w:t>Dolci</w:t>
      </w:r>
      <w:proofErr w:type="spellEnd"/>
      <w:r>
        <w:rPr>
          <w:rFonts w:ascii="TimesNewRomanPSMT" w:hAnsi="TimesNewRomanPSMT"/>
          <w:color w:val="1E1E1E"/>
        </w:rPr>
        <w:t xml:space="preserve"> C, Ferrari S, </w:t>
      </w:r>
      <w:proofErr w:type="spellStart"/>
      <w:r>
        <w:rPr>
          <w:rFonts w:ascii="TimesNewRomanPSMT" w:hAnsi="TimesNewRomanPSMT"/>
          <w:color w:val="1E1E1E"/>
        </w:rPr>
        <w:t>Villanacci</w:t>
      </w:r>
      <w:proofErr w:type="spellEnd"/>
      <w:r>
        <w:rPr>
          <w:rFonts w:ascii="TimesNewRomanPSMT" w:hAnsi="TimesNewRomanPSMT"/>
          <w:color w:val="1E1E1E"/>
        </w:rPr>
        <w:t xml:space="preserve"> R, Arena S, </w:t>
      </w:r>
      <w:proofErr w:type="spellStart"/>
      <w:r>
        <w:rPr>
          <w:rFonts w:ascii="TimesNewRomanPSMT" w:hAnsi="TimesNewRomanPSMT"/>
          <w:color w:val="1E1E1E"/>
        </w:rPr>
        <w:t>Berlanda</w:t>
      </w:r>
      <w:proofErr w:type="spellEnd"/>
      <w:r>
        <w:rPr>
          <w:rFonts w:ascii="TimesNewRomanPSMT" w:hAnsi="TimesNewRomanPSMT"/>
          <w:color w:val="1E1E1E"/>
        </w:rPr>
        <w:t xml:space="preserve"> N, </w:t>
      </w:r>
      <w:proofErr w:type="spellStart"/>
      <w:r>
        <w:rPr>
          <w:rFonts w:ascii="TimesNewRomanPSMT" w:hAnsi="TimesNewRomanPSMT"/>
          <w:color w:val="1E1E1E"/>
        </w:rPr>
        <w:t>Buggio</w:t>
      </w:r>
      <w:proofErr w:type="spellEnd"/>
      <w:r>
        <w:rPr>
          <w:rFonts w:ascii="TimesNewRomanPSMT" w:hAnsi="TimesNewRomanPSMT"/>
          <w:color w:val="1E1E1E"/>
        </w:rPr>
        <w:t xml:space="preserve"> L, Di Cello A, </w:t>
      </w:r>
      <w:proofErr w:type="spellStart"/>
      <w:r>
        <w:rPr>
          <w:rFonts w:ascii="TimesNewRomanPSMT" w:hAnsi="TimesNewRomanPSMT"/>
          <w:color w:val="1E1E1E"/>
        </w:rPr>
        <w:t>Fuggetta</w:t>
      </w:r>
      <w:proofErr w:type="spellEnd"/>
      <w:r>
        <w:rPr>
          <w:rFonts w:ascii="TimesNewRomanPSMT" w:hAnsi="TimesNewRomanPSMT"/>
          <w:color w:val="1E1E1E"/>
        </w:rPr>
        <w:t xml:space="preserve"> E, </w:t>
      </w:r>
      <w:proofErr w:type="spellStart"/>
      <w:r>
        <w:rPr>
          <w:rFonts w:ascii="TimesNewRomanPSMT" w:hAnsi="TimesNewRomanPSMT"/>
          <w:color w:val="1E1E1E"/>
        </w:rPr>
        <w:t>Maneschi</w:t>
      </w:r>
      <w:proofErr w:type="spellEnd"/>
      <w:r>
        <w:rPr>
          <w:rFonts w:ascii="TimesNewRomanPSMT" w:hAnsi="TimesNewRomanPSMT"/>
          <w:color w:val="1E1E1E"/>
        </w:rPr>
        <w:t xml:space="preserve"> F, Massarotti C, </w:t>
      </w:r>
      <w:proofErr w:type="spellStart"/>
      <w:r>
        <w:rPr>
          <w:rFonts w:ascii="TimesNewRomanPSMT" w:hAnsi="TimesNewRomanPSMT"/>
          <w:color w:val="1E1E1E"/>
        </w:rPr>
        <w:t>Mattei</w:t>
      </w:r>
      <w:proofErr w:type="spellEnd"/>
      <w:r>
        <w:rPr>
          <w:rFonts w:ascii="TimesNewRomanPSMT" w:hAnsi="TimesNewRomanPSMT"/>
          <w:color w:val="1E1E1E"/>
        </w:rPr>
        <w:t xml:space="preserve"> A, </w:t>
      </w:r>
      <w:proofErr w:type="spellStart"/>
      <w:r>
        <w:rPr>
          <w:rFonts w:ascii="TimesNewRomanPSMT" w:hAnsi="TimesNewRomanPSMT"/>
          <w:color w:val="1E1E1E"/>
        </w:rPr>
        <w:t>Perelli</w:t>
      </w:r>
      <w:proofErr w:type="spellEnd"/>
      <w:r>
        <w:rPr>
          <w:rFonts w:ascii="TimesNewRomanPSMT" w:hAnsi="TimesNewRomanPSMT"/>
          <w:color w:val="1E1E1E"/>
        </w:rPr>
        <w:t xml:space="preserve"> F, Pino I, </w:t>
      </w:r>
      <w:proofErr w:type="spellStart"/>
      <w:r>
        <w:rPr>
          <w:rFonts w:ascii="TimesNewRomanPSMT" w:hAnsi="TimesNewRomanPSMT"/>
          <w:color w:val="1E1E1E"/>
        </w:rPr>
        <w:t>Porpora</w:t>
      </w:r>
      <w:proofErr w:type="spellEnd"/>
      <w:r>
        <w:rPr>
          <w:rFonts w:ascii="TimesNewRomanPSMT" w:hAnsi="TimesNewRomanPSMT"/>
          <w:color w:val="1E1E1E"/>
        </w:rPr>
        <w:t xml:space="preserve"> MG, Raimondo D, </w:t>
      </w:r>
      <w:proofErr w:type="spellStart"/>
      <w:r>
        <w:rPr>
          <w:rFonts w:ascii="TimesNewRomanPSMT" w:hAnsi="TimesNewRomanPSMT"/>
          <w:color w:val="1E1E1E"/>
        </w:rPr>
        <w:t>Remorgida</w:t>
      </w:r>
      <w:proofErr w:type="spellEnd"/>
      <w:r>
        <w:rPr>
          <w:rFonts w:ascii="TimesNewRomanPSMT" w:hAnsi="TimesNewRomanPSMT"/>
          <w:color w:val="1E1E1E"/>
        </w:rPr>
        <w:t xml:space="preserve"> V, </w:t>
      </w:r>
      <w:proofErr w:type="spellStart"/>
      <w:r>
        <w:rPr>
          <w:rFonts w:ascii="TimesNewRomanPSMT" w:hAnsi="TimesNewRomanPSMT"/>
          <w:color w:val="1E1E1E"/>
        </w:rPr>
        <w:t>Seracchioli</w:t>
      </w:r>
      <w:proofErr w:type="spellEnd"/>
      <w:r>
        <w:rPr>
          <w:rFonts w:ascii="TimesNewRomanPSMT" w:hAnsi="TimesNewRomanPSMT"/>
          <w:color w:val="1E1E1E"/>
        </w:rPr>
        <w:t xml:space="preserve"> R, Ticino A, Viganò P, </w:t>
      </w:r>
      <w:proofErr w:type="spellStart"/>
      <w:r>
        <w:rPr>
          <w:rFonts w:ascii="TimesNewRomanPSMT" w:hAnsi="TimesNewRomanPSMT"/>
          <w:color w:val="1E1E1E"/>
        </w:rPr>
        <w:t>Vignali</w:t>
      </w:r>
      <w:proofErr w:type="spellEnd"/>
      <w:r>
        <w:rPr>
          <w:rFonts w:ascii="TimesNewRomanPSMT" w:hAnsi="TimesNewRomanPSMT"/>
          <w:color w:val="1E1E1E"/>
        </w:rPr>
        <w:t xml:space="preserve"> M, </w:t>
      </w:r>
      <w:proofErr w:type="spellStart"/>
      <w:r>
        <w:rPr>
          <w:rFonts w:ascii="TimesNewRomanPSMT" w:hAnsi="TimesNewRomanPSMT"/>
          <w:color w:val="1E1E1E"/>
        </w:rPr>
        <w:t>Zullo</w:t>
      </w:r>
      <w:proofErr w:type="spellEnd"/>
      <w:r>
        <w:rPr>
          <w:rFonts w:ascii="TimesNewRomanPSMT" w:hAnsi="TimesNewRomanPSMT"/>
          <w:color w:val="1E1E1E"/>
        </w:rPr>
        <w:t xml:space="preserve"> F, </w:t>
      </w:r>
      <w:proofErr w:type="spellStart"/>
      <w:r>
        <w:rPr>
          <w:rFonts w:ascii="TimesNewRomanPSMT" w:hAnsi="TimesNewRomanPSMT"/>
          <w:color w:val="1E1E1E"/>
        </w:rPr>
        <w:t>Zupi</w:t>
      </w:r>
      <w:proofErr w:type="spellEnd"/>
      <w:r>
        <w:rPr>
          <w:rFonts w:ascii="TimesNewRomanPSMT" w:hAnsi="TimesNewRomanPSMT"/>
          <w:color w:val="1E1E1E"/>
        </w:rPr>
        <w:t xml:space="preserve"> E, </w:t>
      </w:r>
      <w:proofErr w:type="spellStart"/>
      <w:r>
        <w:rPr>
          <w:rFonts w:ascii="TimesNewRomanPSMT" w:hAnsi="TimesNewRomanPSMT"/>
          <w:color w:val="1E1E1E"/>
        </w:rPr>
        <w:t>Pagliardini</w:t>
      </w:r>
      <w:proofErr w:type="spellEnd"/>
      <w:r>
        <w:rPr>
          <w:rFonts w:ascii="TimesNewRomanPSMT" w:hAnsi="TimesNewRomanPSMT"/>
          <w:color w:val="1E1E1E"/>
        </w:rPr>
        <w:t xml:space="preserve"> L, </w:t>
      </w:r>
      <w:proofErr w:type="spellStart"/>
      <w:r>
        <w:rPr>
          <w:rFonts w:ascii="TimesNewRomanPSMT" w:hAnsi="TimesNewRomanPSMT"/>
          <w:color w:val="1E1E1E"/>
        </w:rPr>
        <w:t>Candiani</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M.</w:t>
      </w:r>
      <w:r>
        <w:rPr>
          <w:rFonts w:ascii="TimesNewRomanPSMT" w:hAnsi="TimesNewRomanPSMT"/>
          <w:color w:val="4C7F54"/>
        </w:rPr>
        <w:t>Eur</w:t>
      </w:r>
      <w:proofErr w:type="spellEnd"/>
      <w:proofErr w:type="gramEnd"/>
      <w:r>
        <w:rPr>
          <w:rFonts w:ascii="TimesNewRomanPSMT" w:hAnsi="TimesNewRomanPSMT"/>
          <w:color w:val="4C7F54"/>
        </w:rPr>
        <w:t xml:space="preserve"> J </w:t>
      </w:r>
      <w:proofErr w:type="spellStart"/>
      <w:r>
        <w:rPr>
          <w:rFonts w:ascii="TimesNewRomanPSMT" w:hAnsi="TimesNewRomanPSMT"/>
          <w:color w:val="4C7F54"/>
        </w:rPr>
        <w:t>Obstet</w:t>
      </w:r>
      <w:proofErr w:type="spellEnd"/>
      <w:r>
        <w:rPr>
          <w:rFonts w:ascii="TimesNewRomanPSMT" w:hAnsi="TimesNewRomanPSMT"/>
          <w:color w:val="4C7F54"/>
        </w:rPr>
        <w:t xml:space="preserve"> </w:t>
      </w:r>
      <w:proofErr w:type="spellStart"/>
      <w:r>
        <w:rPr>
          <w:rFonts w:ascii="TimesNewRomanPSMT" w:hAnsi="TimesNewRomanPSMT"/>
          <w:color w:val="4C7F54"/>
        </w:rPr>
        <w:t>Gynecol</w:t>
      </w:r>
      <w:proofErr w:type="spellEnd"/>
      <w:r>
        <w:rPr>
          <w:rFonts w:ascii="TimesNewRomanPSMT" w:hAnsi="TimesNewRomanPSMT"/>
          <w:color w:val="4C7F54"/>
        </w:rPr>
        <w:t xml:space="preserve"> </w:t>
      </w:r>
      <w:proofErr w:type="spellStart"/>
      <w:r>
        <w:rPr>
          <w:rFonts w:ascii="TimesNewRomanPSMT" w:hAnsi="TimesNewRomanPSMT"/>
          <w:color w:val="4C7F54"/>
        </w:rPr>
        <w:t>Reprod</w:t>
      </w:r>
      <w:proofErr w:type="spellEnd"/>
      <w:r>
        <w:rPr>
          <w:rFonts w:ascii="TimesNewRomanPSMT" w:hAnsi="TimesNewRomanPSMT"/>
          <w:color w:val="4C7F54"/>
        </w:rPr>
        <w:t xml:space="preserve"> Biol. 2022 May 6;274:5-12. </w:t>
      </w:r>
      <w:proofErr w:type="spellStart"/>
      <w:r>
        <w:rPr>
          <w:rFonts w:ascii="TimesNewRomanPSMT" w:hAnsi="TimesNewRomanPSMT"/>
          <w:color w:val="4C7F54"/>
        </w:rPr>
        <w:t>doi</w:t>
      </w:r>
      <w:proofErr w:type="spellEnd"/>
      <w:r>
        <w:rPr>
          <w:rFonts w:ascii="TimesNewRomanPSMT" w:hAnsi="TimesNewRomanPSMT"/>
          <w:color w:val="4C7F54"/>
        </w:rPr>
        <w:t xml:space="preserve">: 10.1016/j.ejogrb.2022.05.001.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35561567 </w:t>
      </w:r>
    </w:p>
    <w:p w14:paraId="72593923" w14:textId="77777777" w:rsidR="00EA1E6C" w:rsidRDefault="00EA1E6C" w:rsidP="00EA1E6C">
      <w:pPr>
        <w:pStyle w:val="NormalWeb"/>
        <w:shd w:val="clear" w:color="auto" w:fill="FFFFFF"/>
      </w:pPr>
      <w:r>
        <w:rPr>
          <w:rFonts w:ascii="TimesNewRomanPS" w:hAnsi="TimesNewRomanPS"/>
          <w:b/>
          <w:bCs/>
          <w:color w:val="1E1E1E"/>
        </w:rPr>
        <w:t xml:space="preserve">Abstract </w:t>
      </w:r>
    </w:p>
    <w:p w14:paraId="63F1F8EF" w14:textId="77777777" w:rsidR="00EA1E6C" w:rsidRDefault="00EA1E6C" w:rsidP="00EA1E6C">
      <w:pPr>
        <w:pStyle w:val="NormalWeb"/>
        <w:shd w:val="clear" w:color="auto" w:fill="FFFFFF"/>
      </w:pPr>
      <w:r>
        <w:rPr>
          <w:rFonts w:ascii="TimesNewRomanPS" w:hAnsi="TimesNewRomanPS"/>
          <w:b/>
          <w:bCs/>
          <w:color w:val="1E1E1E"/>
        </w:rPr>
        <w:t xml:space="preserve">Objectives: </w:t>
      </w:r>
      <w:r>
        <w:rPr>
          <w:rFonts w:ascii="TimesNewRomanPSMT" w:hAnsi="TimesNewRomanPSMT"/>
          <w:color w:val="1E1E1E"/>
        </w:rPr>
        <w:t xml:space="preserve">Previous evidence seems to support the more common presence of certain pigmentation types in women with endometriosis. The aim of this study was to assess the association of certain somatic phenotypes with specific localizations of the disease. The genetic makeup of those somatic traits may will help in better define the disease pathogenesis. </w:t>
      </w:r>
    </w:p>
    <w:p w14:paraId="54E7E787" w14:textId="77777777" w:rsidR="00EA1E6C" w:rsidRDefault="00EA1E6C" w:rsidP="00EA1E6C">
      <w:pPr>
        <w:pStyle w:val="NormalWeb"/>
        <w:shd w:val="clear" w:color="auto" w:fill="FFFFFF"/>
      </w:pPr>
      <w:r>
        <w:rPr>
          <w:rFonts w:ascii="TimesNewRomanPS" w:hAnsi="TimesNewRomanPS"/>
          <w:b/>
          <w:bCs/>
          <w:color w:val="1E1E1E"/>
        </w:rPr>
        <w:t xml:space="preserve">Study design: </w:t>
      </w:r>
      <w:r>
        <w:rPr>
          <w:rFonts w:ascii="TimesNewRomanPSMT" w:hAnsi="TimesNewRomanPSMT"/>
          <w:color w:val="1E1E1E"/>
        </w:rPr>
        <w:t xml:space="preserve">Multicentric, retrospective study of women aged 18 to 45 with histologically confirmed endometriosis. 575 patients were recruited at eleven different Italian endometriosis clinics from March 2015 to January 2021. Data regarding clinical and surgical features were recorded following the self-administered endometriosis patient questionnaire and the surgical standard of reports approved by the World Endometriosis Research Foundation (WERF). Pigmentation types/somatic phenotypes frequencies among endometriosis localizations were reported. A logistic regression analysis was performed to determine somatic types independently associated with disease' localizations. </w:t>
      </w:r>
    </w:p>
    <w:p w14:paraId="5FAA05CD" w14:textId="77777777" w:rsidR="00EA1E6C" w:rsidRDefault="00EA1E6C" w:rsidP="00EA1E6C">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Having green eyes increased by </w:t>
      </w:r>
      <w:r>
        <w:rPr>
          <w:rFonts w:ascii="CambriaMath" w:hAnsi="CambriaMath"/>
          <w:color w:val="1E1E1E"/>
        </w:rPr>
        <w:t>∼</w:t>
      </w:r>
      <w:r>
        <w:rPr>
          <w:rFonts w:ascii="TimesNewRomanPSMT" w:hAnsi="TimesNewRomanPSMT"/>
          <w:color w:val="1E1E1E"/>
        </w:rPr>
        <w:t xml:space="preserve">4 folds (OR 3.7; 95% CI: 1.42-9.61; p = 0.007) the risk of having a ureteral nodule, whereas brown/black eyes decreased this risk (OR 0.34; 95% CI: 0.13-0.87; p = 0.025). Consistently, the combination of green eyes and blonde/light brown hairs increased the odds of ureteral endometriosis by more than 5 folds (OR 5.40; 95%CI: 2.02- </w:t>
      </w:r>
    </w:p>
    <w:p w14:paraId="18AD688F" w14:textId="77777777" w:rsidR="00EA1E6C" w:rsidRDefault="00EA1E6C" w:rsidP="00EA1E6C">
      <w:pPr>
        <w:pStyle w:val="NormalWeb"/>
        <w:shd w:val="clear" w:color="auto" w:fill="FFFFFF"/>
      </w:pPr>
      <w:r>
        <w:rPr>
          <w:rFonts w:ascii="TimesNewRomanPSMT" w:hAnsi="TimesNewRomanPSMT"/>
          <w:color w:val="1E1E1E"/>
        </w:rPr>
        <w:t>14.49; p = 0.001), even after correction for anthropometric confounders (</w:t>
      </w:r>
      <w:proofErr w:type="spellStart"/>
      <w:r>
        <w:rPr>
          <w:rFonts w:ascii="TimesNewRomanPSMT" w:hAnsi="TimesNewRomanPSMT"/>
          <w:color w:val="1E1E1E"/>
        </w:rPr>
        <w:t>aOR</w:t>
      </w:r>
      <w:proofErr w:type="spellEnd"/>
      <w:r>
        <w:rPr>
          <w:rFonts w:ascii="TimesNewRomanPSMT" w:hAnsi="TimesNewRomanPSMT"/>
          <w:color w:val="1E1E1E"/>
        </w:rPr>
        <w:t xml:space="preserve"> 5.85; 95% CI: 2.13-16.09; p &lt; 0.001). </w:t>
      </w:r>
    </w:p>
    <w:p w14:paraId="4F90FCAE" w14:textId="77777777" w:rsidR="00EA1E6C" w:rsidRDefault="00EA1E6C" w:rsidP="00EA1E6C">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The association between endometriosis and pigmentary traits has been herein confirmed, with the novel finding of the possible predisposition of ureteral endometriosis in patients with green eyes and blonde/light brown hairs. Further investigation on the genetic makeup of somatic traits may provide new inroads also into the molecular aspects of endometriosis leading to a better understanding of this complex disease. </w:t>
      </w:r>
    </w:p>
    <w:p w14:paraId="083A8B09" w14:textId="77777777" w:rsidR="00EA1E6C" w:rsidRDefault="00EA1E6C" w:rsidP="00EA1E6C">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Endometriosis; Pigmentation traits; Somatic phenotypes; Ureteral endometriosis. </w:t>
      </w:r>
    </w:p>
    <w:p w14:paraId="5DF7BD4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mbriaMath">
    <w:altName w:val="Cambria"/>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E6C"/>
    <w:rsid w:val="001C7F88"/>
    <w:rsid w:val="00432D50"/>
    <w:rsid w:val="00875F78"/>
    <w:rsid w:val="00A74000"/>
    <w:rsid w:val="00B02158"/>
    <w:rsid w:val="00BE7B39"/>
    <w:rsid w:val="00D10F9D"/>
    <w:rsid w:val="00D30F83"/>
    <w:rsid w:val="00D7461F"/>
    <w:rsid w:val="00DB67B4"/>
    <w:rsid w:val="00EA1E6C"/>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F7ED74A"/>
  <w15:chartTrackingRefBased/>
  <w15:docId w15:val="{50FB0DC5-B36B-454D-9AD7-607876DEC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1E6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375529">
      <w:bodyDiv w:val="1"/>
      <w:marLeft w:val="0"/>
      <w:marRight w:val="0"/>
      <w:marTop w:val="0"/>
      <w:marBottom w:val="0"/>
      <w:divBdr>
        <w:top w:val="none" w:sz="0" w:space="0" w:color="auto"/>
        <w:left w:val="none" w:sz="0" w:space="0" w:color="auto"/>
        <w:bottom w:val="none" w:sz="0" w:space="0" w:color="auto"/>
        <w:right w:val="none" w:sz="0" w:space="0" w:color="auto"/>
      </w:divBdr>
      <w:divsChild>
        <w:div w:id="314915360">
          <w:marLeft w:val="0"/>
          <w:marRight w:val="0"/>
          <w:marTop w:val="0"/>
          <w:marBottom w:val="0"/>
          <w:divBdr>
            <w:top w:val="none" w:sz="0" w:space="0" w:color="auto"/>
            <w:left w:val="none" w:sz="0" w:space="0" w:color="auto"/>
            <w:bottom w:val="none" w:sz="0" w:space="0" w:color="auto"/>
            <w:right w:val="none" w:sz="0" w:space="0" w:color="auto"/>
          </w:divBdr>
          <w:divsChild>
            <w:div w:id="1674917601">
              <w:marLeft w:val="0"/>
              <w:marRight w:val="0"/>
              <w:marTop w:val="0"/>
              <w:marBottom w:val="0"/>
              <w:divBdr>
                <w:top w:val="none" w:sz="0" w:space="0" w:color="auto"/>
                <w:left w:val="none" w:sz="0" w:space="0" w:color="auto"/>
                <w:bottom w:val="none" w:sz="0" w:space="0" w:color="auto"/>
                <w:right w:val="none" w:sz="0" w:space="0" w:color="auto"/>
              </w:divBdr>
              <w:divsChild>
                <w:div w:id="1606882688">
                  <w:marLeft w:val="0"/>
                  <w:marRight w:val="0"/>
                  <w:marTop w:val="0"/>
                  <w:marBottom w:val="0"/>
                  <w:divBdr>
                    <w:top w:val="none" w:sz="0" w:space="0" w:color="auto"/>
                    <w:left w:val="none" w:sz="0" w:space="0" w:color="auto"/>
                    <w:bottom w:val="none" w:sz="0" w:space="0" w:color="auto"/>
                    <w:right w:val="none" w:sz="0" w:space="0" w:color="auto"/>
                  </w:divBdr>
                </w:div>
              </w:divsChild>
            </w:div>
            <w:div w:id="675807636">
              <w:marLeft w:val="0"/>
              <w:marRight w:val="0"/>
              <w:marTop w:val="0"/>
              <w:marBottom w:val="0"/>
              <w:divBdr>
                <w:top w:val="none" w:sz="0" w:space="0" w:color="auto"/>
                <w:left w:val="none" w:sz="0" w:space="0" w:color="auto"/>
                <w:bottom w:val="none" w:sz="0" w:space="0" w:color="auto"/>
                <w:right w:val="none" w:sz="0" w:space="0" w:color="auto"/>
              </w:divBdr>
              <w:divsChild>
                <w:div w:id="243497393">
                  <w:marLeft w:val="0"/>
                  <w:marRight w:val="0"/>
                  <w:marTop w:val="0"/>
                  <w:marBottom w:val="0"/>
                  <w:divBdr>
                    <w:top w:val="none" w:sz="0" w:space="0" w:color="auto"/>
                    <w:left w:val="none" w:sz="0" w:space="0" w:color="auto"/>
                    <w:bottom w:val="none" w:sz="0" w:space="0" w:color="auto"/>
                    <w:right w:val="none" w:sz="0" w:space="0" w:color="auto"/>
                  </w:divBdr>
                  <w:divsChild>
                    <w:div w:id="164457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413638">
          <w:marLeft w:val="0"/>
          <w:marRight w:val="0"/>
          <w:marTop w:val="0"/>
          <w:marBottom w:val="0"/>
          <w:divBdr>
            <w:top w:val="none" w:sz="0" w:space="0" w:color="auto"/>
            <w:left w:val="none" w:sz="0" w:space="0" w:color="auto"/>
            <w:bottom w:val="none" w:sz="0" w:space="0" w:color="auto"/>
            <w:right w:val="none" w:sz="0" w:space="0" w:color="auto"/>
          </w:divBdr>
          <w:divsChild>
            <w:div w:id="1808544218">
              <w:marLeft w:val="0"/>
              <w:marRight w:val="0"/>
              <w:marTop w:val="0"/>
              <w:marBottom w:val="0"/>
              <w:divBdr>
                <w:top w:val="none" w:sz="0" w:space="0" w:color="auto"/>
                <w:left w:val="none" w:sz="0" w:space="0" w:color="auto"/>
                <w:bottom w:val="none" w:sz="0" w:space="0" w:color="auto"/>
                <w:right w:val="none" w:sz="0" w:space="0" w:color="auto"/>
              </w:divBdr>
              <w:divsChild>
                <w:div w:id="1980643898">
                  <w:marLeft w:val="0"/>
                  <w:marRight w:val="0"/>
                  <w:marTop w:val="0"/>
                  <w:marBottom w:val="0"/>
                  <w:divBdr>
                    <w:top w:val="none" w:sz="0" w:space="0" w:color="auto"/>
                    <w:left w:val="none" w:sz="0" w:space="0" w:color="auto"/>
                    <w:bottom w:val="none" w:sz="0" w:space="0" w:color="auto"/>
                    <w:right w:val="none" w:sz="0" w:space="0" w:color="auto"/>
                  </w:divBdr>
                  <w:divsChild>
                    <w:div w:id="16985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392</Words>
  <Characters>2237</Characters>
  <Application>Microsoft Office Word</Application>
  <DocSecurity>0</DocSecurity>
  <Lines>18</Lines>
  <Paragraphs>5</Paragraphs>
  <ScaleCrop>false</ScaleCrop>
  <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2022-07-30T18:48:00Z</dcterms:created>
  <dcterms:modified xsi:type="dcterms:W3CDTF">2022-07-30T18:48:00Z</dcterms:modified>
</cp:coreProperties>
</file>