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09E76" w14:textId="77777777" w:rsidR="009C1D17" w:rsidRDefault="009C1D17" w:rsidP="009C1D17">
      <w:pPr>
        <w:pStyle w:val="NormalWeb"/>
      </w:pPr>
      <w:r>
        <w:rPr>
          <w:rFonts w:ascii="TimesNewRomanPSMT" w:hAnsi="TimesNewRomanPSMT"/>
        </w:rPr>
        <w:t xml:space="preserve">61) </w:t>
      </w:r>
      <w:r>
        <w:rPr>
          <w:rFonts w:ascii="TimesNewRomanPSMT" w:hAnsi="TimesNewRomanPSMT"/>
          <w:color w:val="0070BA"/>
        </w:rPr>
        <w:t xml:space="preserve">Downregulation of LHCGR Attenuates COX-2 Expression and Induces Luteinized Unruptured Follicle Syndrome in </w:t>
      </w:r>
      <w:r>
        <w:rPr>
          <w:rFonts w:ascii="TimesNewRomanPS" w:hAnsi="TimesNewRomanPS"/>
          <w:b/>
          <w:bCs/>
          <w:color w:val="0070BA"/>
        </w:rPr>
        <w:t>Endometriosis</w:t>
      </w:r>
      <w:r>
        <w:rPr>
          <w:rFonts w:ascii="TimesNewRomanPSMT" w:hAnsi="TimesNewRomanPSMT"/>
          <w:color w:val="0070BA"/>
        </w:rPr>
        <w:t xml:space="preserve">. </w:t>
      </w:r>
    </w:p>
    <w:p w14:paraId="5A6BBCA7" w14:textId="77777777" w:rsidR="009C1D17" w:rsidRDefault="009C1D17" w:rsidP="009C1D17">
      <w:pPr>
        <w:pStyle w:val="NormalWeb"/>
      </w:pPr>
      <w:proofErr w:type="spellStart"/>
      <w:r>
        <w:rPr>
          <w:rFonts w:ascii="TimesNewRomanPSMT" w:hAnsi="TimesNewRomanPSMT"/>
          <w:color w:val="1E1E1E"/>
        </w:rPr>
        <w:t>Geng</w:t>
      </w:r>
      <w:proofErr w:type="spellEnd"/>
      <w:r>
        <w:rPr>
          <w:rFonts w:ascii="TimesNewRomanPSMT" w:hAnsi="TimesNewRomanPSMT"/>
          <w:color w:val="1E1E1E"/>
        </w:rPr>
        <w:t xml:space="preserve"> T, Sun Y, Cheng L, Cao Y, Zhang M, Hong Z, Ma L, Zhang </w:t>
      </w:r>
      <w:proofErr w:type="spellStart"/>
      <w:proofErr w:type="gramStart"/>
      <w:r>
        <w:rPr>
          <w:rFonts w:ascii="TimesNewRomanPSMT" w:hAnsi="TimesNewRomanPSMT"/>
          <w:color w:val="1E1E1E"/>
        </w:rPr>
        <w:t>Y.</w:t>
      </w:r>
      <w:r>
        <w:rPr>
          <w:rFonts w:ascii="TimesNewRomanPSMT" w:hAnsi="TimesNewRomanPSMT"/>
          <w:color w:val="4C7F54"/>
        </w:rPr>
        <w:t>Front</w:t>
      </w:r>
      <w:proofErr w:type="spellEnd"/>
      <w:proofErr w:type="gramEnd"/>
      <w:r>
        <w:rPr>
          <w:rFonts w:ascii="TimesNewRomanPSMT" w:hAnsi="TimesNewRomanPSMT"/>
          <w:color w:val="4C7F54"/>
        </w:rPr>
        <w:t xml:space="preserve"> Endocrinol (Lausanne). 2022 May </w:t>
      </w:r>
      <w:proofErr w:type="gramStart"/>
      <w:r>
        <w:rPr>
          <w:rFonts w:ascii="TimesNewRomanPSMT" w:hAnsi="TimesNewRomanPSMT"/>
          <w:color w:val="4C7F54"/>
        </w:rPr>
        <w:t>4;13:853563</w:t>
      </w:r>
      <w:proofErr w:type="gramEnd"/>
      <w:r>
        <w:rPr>
          <w:rFonts w:ascii="TimesNewRomanPSMT" w:hAnsi="TimesNewRomanPSMT"/>
          <w:color w:val="4C7F54"/>
        </w:rPr>
        <w:t xml:space="preserve">. </w:t>
      </w:r>
      <w:proofErr w:type="spellStart"/>
      <w:r>
        <w:rPr>
          <w:rFonts w:ascii="TimesNewRomanPSMT" w:hAnsi="TimesNewRomanPSMT"/>
          <w:color w:val="4C7F54"/>
        </w:rPr>
        <w:t>doi</w:t>
      </w:r>
      <w:proofErr w:type="spellEnd"/>
      <w:r>
        <w:rPr>
          <w:rFonts w:ascii="TimesNewRomanPSMT" w:hAnsi="TimesNewRomanPSMT"/>
          <w:color w:val="4C7F54"/>
        </w:rPr>
        <w:t xml:space="preserve">: 10.3389/fendo.2022.853563. </w:t>
      </w:r>
      <w:proofErr w:type="spellStart"/>
      <w:r>
        <w:rPr>
          <w:rFonts w:ascii="TimesNewRomanPSMT" w:hAnsi="TimesNewRomanPSMT"/>
          <w:color w:val="4C7F54"/>
        </w:rPr>
        <w:t>eCollection</w:t>
      </w:r>
      <w:proofErr w:type="spellEnd"/>
      <w:r>
        <w:rPr>
          <w:rFonts w:ascii="TimesNewRomanPSMT" w:hAnsi="TimesNewRomanPSMT"/>
          <w:color w:val="4C7F54"/>
        </w:rPr>
        <w:t xml:space="preserve"> 2022.PMID: 35600595 </w:t>
      </w:r>
      <w:r>
        <w:rPr>
          <w:rFonts w:ascii="TimesNewRomanPS" w:hAnsi="TimesNewRomanPS"/>
          <w:b/>
          <w:bCs/>
          <w:color w:val="BF5400"/>
        </w:rPr>
        <w:t xml:space="preserve">Free PMC article. </w:t>
      </w:r>
    </w:p>
    <w:p w14:paraId="72313DD0" w14:textId="77777777" w:rsidR="009C1D17" w:rsidRDefault="009C1D17" w:rsidP="009C1D17">
      <w:pPr>
        <w:pStyle w:val="NormalWeb"/>
        <w:shd w:val="clear" w:color="auto" w:fill="FFFFFF"/>
      </w:pPr>
      <w:r>
        <w:rPr>
          <w:rFonts w:ascii="TimesNewRomanPS" w:hAnsi="TimesNewRomanPS"/>
          <w:b/>
          <w:bCs/>
          <w:color w:val="1E1E1E"/>
        </w:rPr>
        <w:t xml:space="preserve">Abstract </w:t>
      </w:r>
    </w:p>
    <w:p w14:paraId="661D4B06" w14:textId="77777777" w:rsidR="009C1D17" w:rsidRDefault="009C1D17" w:rsidP="009C1D17">
      <w:pPr>
        <w:pStyle w:val="NormalWeb"/>
        <w:shd w:val="clear" w:color="auto" w:fill="FFFFFF"/>
      </w:pPr>
      <w:r>
        <w:rPr>
          <w:rFonts w:ascii="TimesNewRomanPSMT" w:hAnsi="TimesNewRomanPSMT"/>
          <w:color w:val="1E1E1E"/>
        </w:rPr>
        <w:t xml:space="preserve">An association between endometriosis and luteinized unruptured follicle syndrome (LUFs) has long been identified. Although inactivating mutation of luteinizing hormone/choriogonadotropin receptor (LHGCR) results in LUFs, whether LHCGR contributes to promoting LUFs in endometriosis remains elusive. To investigate the effect of LHCGR </w:t>
      </w:r>
      <w:proofErr w:type="spellStart"/>
      <w:r>
        <w:rPr>
          <w:rFonts w:ascii="TimesNewRomanPSMT" w:hAnsi="TimesNewRomanPSMT"/>
          <w:color w:val="1E1E1E"/>
        </w:rPr>
        <w:t>signaling</w:t>
      </w:r>
      <w:proofErr w:type="spellEnd"/>
      <w:r>
        <w:rPr>
          <w:rFonts w:ascii="TimesNewRomanPSMT" w:hAnsi="TimesNewRomanPSMT"/>
          <w:color w:val="1E1E1E"/>
        </w:rPr>
        <w:t xml:space="preserve"> in the development of </w:t>
      </w:r>
      <w:proofErr w:type="gramStart"/>
      <w:r>
        <w:rPr>
          <w:rFonts w:ascii="TimesNewRomanPSMT" w:hAnsi="TimesNewRomanPSMT"/>
          <w:color w:val="1E1E1E"/>
        </w:rPr>
        <w:t>endometriosis-associated</w:t>
      </w:r>
      <w:proofErr w:type="gramEnd"/>
      <w:r>
        <w:rPr>
          <w:rFonts w:ascii="TimesNewRomanPSMT" w:hAnsi="TimesNewRomanPSMT"/>
          <w:color w:val="1E1E1E"/>
        </w:rPr>
        <w:t xml:space="preserve"> LUFs and dissect the underlying mechanism </w:t>
      </w:r>
      <w:r>
        <w:rPr>
          <w:rFonts w:ascii="TimesNewRomanPS" w:hAnsi="TimesNewRomanPS"/>
          <w:i/>
          <w:iCs/>
          <w:color w:val="1E1E1E"/>
        </w:rPr>
        <w:t xml:space="preserve">in vivo </w:t>
      </w:r>
      <w:r>
        <w:rPr>
          <w:rFonts w:ascii="TimesNewRomanPSMT" w:hAnsi="TimesNewRomanPSMT"/>
          <w:color w:val="1E1E1E"/>
        </w:rPr>
        <w:t xml:space="preserve">mouse endometriosis model was established to measure the effect on ovarian </w:t>
      </w:r>
      <w:proofErr w:type="spellStart"/>
      <w:r>
        <w:rPr>
          <w:rFonts w:ascii="TimesNewRomanPSMT" w:hAnsi="TimesNewRomanPSMT"/>
          <w:color w:val="1E1E1E"/>
        </w:rPr>
        <w:t>folliculogenesis</w:t>
      </w:r>
      <w:proofErr w:type="spellEnd"/>
      <w:r>
        <w:rPr>
          <w:rFonts w:ascii="TimesNewRomanPSMT" w:hAnsi="TimesNewRomanPSMT"/>
          <w:color w:val="1E1E1E"/>
        </w:rPr>
        <w:t xml:space="preserve">. </w:t>
      </w:r>
      <w:r>
        <w:rPr>
          <w:rFonts w:ascii="TimesNewRomanPS" w:hAnsi="TimesNewRomanPS"/>
          <w:i/>
          <w:iCs/>
          <w:color w:val="1E1E1E"/>
        </w:rPr>
        <w:t xml:space="preserve">In </w:t>
      </w:r>
    </w:p>
    <w:p w14:paraId="0CD405C4" w14:textId="77777777" w:rsidR="009C1D17" w:rsidRDefault="009C1D17" w:rsidP="009C1D17">
      <w:pPr>
        <w:pStyle w:val="NormalWeb"/>
        <w:shd w:val="clear" w:color="auto" w:fill="FFFFFF"/>
      </w:pPr>
      <w:r>
        <w:rPr>
          <w:rFonts w:ascii="TimesNewRomanPS" w:hAnsi="TimesNewRomanPS"/>
          <w:i/>
          <w:iCs/>
          <w:color w:val="1E1E1E"/>
        </w:rPr>
        <w:t xml:space="preserve">vitro </w:t>
      </w:r>
      <w:r>
        <w:rPr>
          <w:rFonts w:ascii="TimesNewRomanPSMT" w:hAnsi="TimesNewRomanPSMT"/>
          <w:color w:val="1E1E1E"/>
        </w:rPr>
        <w:t xml:space="preserve">cultures of primary human GCs collected from patients undergoing </w:t>
      </w:r>
      <w:r>
        <w:rPr>
          <w:rFonts w:ascii="TimesNewRomanPS" w:hAnsi="TimesNewRomanPS"/>
          <w:i/>
          <w:iCs/>
          <w:color w:val="1E1E1E"/>
        </w:rPr>
        <w:t xml:space="preserve">in vitro </w:t>
      </w:r>
      <w:r>
        <w:rPr>
          <w:rFonts w:ascii="TimesNewRomanPSMT" w:hAnsi="TimesNewRomanPSMT"/>
          <w:color w:val="1E1E1E"/>
        </w:rPr>
        <w:t>fertilization were performed and treated with human chorionic gonadotropin (</w:t>
      </w:r>
      <w:proofErr w:type="spellStart"/>
      <w:r>
        <w:rPr>
          <w:rFonts w:ascii="TimesNewRomanPSMT" w:hAnsi="TimesNewRomanPSMT"/>
          <w:color w:val="1E1E1E"/>
        </w:rPr>
        <w:t>hCG</w:t>
      </w:r>
      <w:proofErr w:type="spellEnd"/>
      <w:r>
        <w:rPr>
          <w:rFonts w:ascii="TimesNewRomanPSMT" w:hAnsi="TimesNewRomanPSMT"/>
          <w:color w:val="1E1E1E"/>
        </w:rPr>
        <w:t xml:space="preserve">), </w:t>
      </w:r>
      <w:proofErr w:type="spellStart"/>
      <w:r>
        <w:rPr>
          <w:rFonts w:ascii="TimesNewRomanPSMT" w:hAnsi="TimesNewRomanPSMT"/>
          <w:color w:val="1E1E1E"/>
        </w:rPr>
        <w:t>dibutyryl</w:t>
      </w:r>
      <w:proofErr w:type="spellEnd"/>
      <w:r>
        <w:rPr>
          <w:rFonts w:ascii="TimesNewRomanPSMT" w:hAnsi="TimesNewRomanPSMT"/>
          <w:color w:val="1E1E1E"/>
        </w:rPr>
        <w:t xml:space="preserve"> cyclic-AMP (</w:t>
      </w:r>
      <w:proofErr w:type="spellStart"/>
      <w:r>
        <w:rPr>
          <w:rFonts w:ascii="TimesNewRomanPSMT" w:hAnsi="TimesNewRomanPSMT"/>
          <w:color w:val="1E1E1E"/>
        </w:rPr>
        <w:t>db</w:t>
      </w:r>
      <w:proofErr w:type="spellEnd"/>
      <w:r>
        <w:rPr>
          <w:rFonts w:ascii="TimesNewRomanPSMT" w:hAnsi="TimesNewRomanPSMT"/>
          <w:color w:val="1E1E1E"/>
        </w:rPr>
        <w:t xml:space="preserve">-cAMP), LHCGR or CCAAT/enhancer binding protein-α (C/EBPα) small interfering RNA to identify the potential mechanisms. KGN cell line was used to investigate the mechanistic features of transcriptional regulation. Results showed an increased incidence of LUFs was observed in mice with endometriosis. The expression of LHCGR was decreased in the GCs of endometriosis mice. In </w:t>
      </w:r>
      <w:r>
        <w:rPr>
          <w:rFonts w:ascii="TimesNewRomanPS" w:hAnsi="TimesNewRomanPS"/>
          <w:i/>
          <w:iCs/>
          <w:color w:val="1E1E1E"/>
        </w:rPr>
        <w:t xml:space="preserve">in vitro </w:t>
      </w:r>
      <w:r>
        <w:rPr>
          <w:rFonts w:ascii="TimesNewRomanPSMT" w:hAnsi="TimesNewRomanPSMT"/>
          <w:color w:val="1E1E1E"/>
        </w:rPr>
        <w:t xml:space="preserve">cell models, LHCGR </w:t>
      </w:r>
      <w:proofErr w:type="spellStart"/>
      <w:r>
        <w:rPr>
          <w:rFonts w:ascii="TimesNewRomanPSMT" w:hAnsi="TimesNewRomanPSMT"/>
          <w:color w:val="1E1E1E"/>
        </w:rPr>
        <w:t>signaling</w:t>
      </w:r>
      <w:proofErr w:type="spellEnd"/>
      <w:r>
        <w:rPr>
          <w:rFonts w:ascii="TimesNewRomanPSMT" w:hAnsi="TimesNewRomanPSMT"/>
          <w:color w:val="1E1E1E"/>
        </w:rPr>
        <w:t xml:space="preserve"> increased the expression of C/EBPα and cyclooxygenase-2(COX-2), while inhibiting C/EBPα mitigated the induced COX-2 expression. Mechanically, C/EBPα bounded to the promoter region of COX-2 and increased the </w:t>
      </w:r>
    </w:p>
    <w:p w14:paraId="3CEDE8D9" w14:textId="77777777" w:rsidR="009C1D17" w:rsidRDefault="009C1D17" w:rsidP="009C1D17">
      <w:pPr>
        <w:pStyle w:val="NormalWeb"/>
        <w:shd w:val="clear" w:color="auto" w:fill="FFFFFF"/>
      </w:pPr>
      <w:r>
        <w:rPr>
          <w:rFonts w:ascii="TimesNewRomanPSMT" w:hAnsi="TimesNewRomanPSMT"/>
          <w:color w:val="1E1E1E"/>
        </w:rPr>
        <w:t xml:space="preserve">transcriptional activity under the stimulation of </w:t>
      </w:r>
      <w:proofErr w:type="spellStart"/>
      <w:r>
        <w:rPr>
          <w:rFonts w:ascii="TimesNewRomanPSMT" w:hAnsi="TimesNewRomanPSMT"/>
          <w:color w:val="1E1E1E"/>
        </w:rPr>
        <w:t>hCG</w:t>
      </w:r>
      <w:proofErr w:type="spellEnd"/>
      <w:r>
        <w:rPr>
          <w:rFonts w:ascii="TimesNewRomanPSMT" w:hAnsi="TimesNewRomanPSMT"/>
          <w:color w:val="1E1E1E"/>
        </w:rPr>
        <w:t xml:space="preserve"> or </w:t>
      </w:r>
      <w:proofErr w:type="spellStart"/>
      <w:r>
        <w:rPr>
          <w:rFonts w:ascii="TimesNewRomanPSMT" w:hAnsi="TimesNewRomanPSMT"/>
          <w:color w:val="1E1E1E"/>
        </w:rPr>
        <w:t>db</w:t>
      </w:r>
      <w:proofErr w:type="spellEnd"/>
      <w:r>
        <w:rPr>
          <w:rFonts w:ascii="TimesNewRomanPSMT" w:hAnsi="TimesNewRomanPSMT"/>
          <w:color w:val="1E1E1E"/>
        </w:rPr>
        <w:t xml:space="preserve">-cAMP. Taken together, this study demonstrated that the LHCGR </w:t>
      </w:r>
      <w:proofErr w:type="spellStart"/>
      <w:r>
        <w:rPr>
          <w:rFonts w:ascii="TimesNewRomanPSMT" w:hAnsi="TimesNewRomanPSMT"/>
          <w:color w:val="1E1E1E"/>
        </w:rPr>
        <w:t>signaling</w:t>
      </w:r>
      <w:proofErr w:type="spellEnd"/>
      <w:r>
        <w:rPr>
          <w:rFonts w:ascii="TimesNewRomanPSMT" w:hAnsi="TimesNewRomanPSMT"/>
          <w:color w:val="1E1E1E"/>
        </w:rPr>
        <w:t xml:space="preserve"> was reduced in GCs of endometriosis and resulted in a decrease in gonadotropin-induced COX-2 expression. Our study might provide new insights into the dysfunction of GCs in endometriosis. </w:t>
      </w:r>
    </w:p>
    <w:p w14:paraId="0E0AB2F6" w14:textId="77777777" w:rsidR="009C1D17" w:rsidRDefault="009C1D17" w:rsidP="009C1D17">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COX-2; LHCGR; endometriosis; luteinized unruptured follicle syndrome; ovulation. </w:t>
      </w:r>
    </w:p>
    <w:p w14:paraId="3A203B5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D17"/>
    <w:rsid w:val="001C7F88"/>
    <w:rsid w:val="00432D50"/>
    <w:rsid w:val="00875F78"/>
    <w:rsid w:val="009C1D17"/>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2D20DBB"/>
  <w15:chartTrackingRefBased/>
  <w15:docId w15:val="{7C65C8A7-AEB7-FC4F-8A9E-F4A6BA4A3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1D1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0218658">
      <w:bodyDiv w:val="1"/>
      <w:marLeft w:val="0"/>
      <w:marRight w:val="0"/>
      <w:marTop w:val="0"/>
      <w:marBottom w:val="0"/>
      <w:divBdr>
        <w:top w:val="none" w:sz="0" w:space="0" w:color="auto"/>
        <w:left w:val="none" w:sz="0" w:space="0" w:color="auto"/>
        <w:bottom w:val="none" w:sz="0" w:space="0" w:color="auto"/>
        <w:right w:val="none" w:sz="0" w:space="0" w:color="auto"/>
      </w:divBdr>
      <w:divsChild>
        <w:div w:id="1812290809">
          <w:marLeft w:val="0"/>
          <w:marRight w:val="0"/>
          <w:marTop w:val="0"/>
          <w:marBottom w:val="0"/>
          <w:divBdr>
            <w:top w:val="none" w:sz="0" w:space="0" w:color="auto"/>
            <w:left w:val="none" w:sz="0" w:space="0" w:color="auto"/>
            <w:bottom w:val="none" w:sz="0" w:space="0" w:color="auto"/>
            <w:right w:val="none" w:sz="0" w:space="0" w:color="auto"/>
          </w:divBdr>
          <w:divsChild>
            <w:div w:id="1146436115">
              <w:marLeft w:val="0"/>
              <w:marRight w:val="0"/>
              <w:marTop w:val="0"/>
              <w:marBottom w:val="0"/>
              <w:divBdr>
                <w:top w:val="none" w:sz="0" w:space="0" w:color="auto"/>
                <w:left w:val="none" w:sz="0" w:space="0" w:color="auto"/>
                <w:bottom w:val="none" w:sz="0" w:space="0" w:color="auto"/>
                <w:right w:val="none" w:sz="0" w:space="0" w:color="auto"/>
              </w:divBdr>
              <w:divsChild>
                <w:div w:id="497228610">
                  <w:marLeft w:val="0"/>
                  <w:marRight w:val="0"/>
                  <w:marTop w:val="0"/>
                  <w:marBottom w:val="0"/>
                  <w:divBdr>
                    <w:top w:val="none" w:sz="0" w:space="0" w:color="auto"/>
                    <w:left w:val="none" w:sz="0" w:space="0" w:color="auto"/>
                    <w:bottom w:val="none" w:sz="0" w:space="0" w:color="auto"/>
                    <w:right w:val="none" w:sz="0" w:space="0" w:color="auto"/>
                  </w:divBdr>
                </w:div>
              </w:divsChild>
            </w:div>
            <w:div w:id="565191588">
              <w:marLeft w:val="0"/>
              <w:marRight w:val="0"/>
              <w:marTop w:val="0"/>
              <w:marBottom w:val="0"/>
              <w:divBdr>
                <w:top w:val="none" w:sz="0" w:space="0" w:color="auto"/>
                <w:left w:val="none" w:sz="0" w:space="0" w:color="auto"/>
                <w:bottom w:val="none" w:sz="0" w:space="0" w:color="auto"/>
                <w:right w:val="none" w:sz="0" w:space="0" w:color="auto"/>
              </w:divBdr>
              <w:divsChild>
                <w:div w:id="1932162504">
                  <w:marLeft w:val="0"/>
                  <w:marRight w:val="0"/>
                  <w:marTop w:val="0"/>
                  <w:marBottom w:val="0"/>
                  <w:divBdr>
                    <w:top w:val="none" w:sz="0" w:space="0" w:color="auto"/>
                    <w:left w:val="none" w:sz="0" w:space="0" w:color="auto"/>
                    <w:bottom w:val="none" w:sz="0" w:space="0" w:color="auto"/>
                    <w:right w:val="none" w:sz="0" w:space="0" w:color="auto"/>
                  </w:divBdr>
                  <w:divsChild>
                    <w:div w:id="31360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357404">
          <w:marLeft w:val="0"/>
          <w:marRight w:val="0"/>
          <w:marTop w:val="0"/>
          <w:marBottom w:val="0"/>
          <w:divBdr>
            <w:top w:val="none" w:sz="0" w:space="0" w:color="auto"/>
            <w:left w:val="none" w:sz="0" w:space="0" w:color="auto"/>
            <w:bottom w:val="none" w:sz="0" w:space="0" w:color="auto"/>
            <w:right w:val="none" w:sz="0" w:space="0" w:color="auto"/>
          </w:divBdr>
          <w:divsChild>
            <w:div w:id="1380594890">
              <w:marLeft w:val="0"/>
              <w:marRight w:val="0"/>
              <w:marTop w:val="0"/>
              <w:marBottom w:val="0"/>
              <w:divBdr>
                <w:top w:val="none" w:sz="0" w:space="0" w:color="auto"/>
                <w:left w:val="none" w:sz="0" w:space="0" w:color="auto"/>
                <w:bottom w:val="none" w:sz="0" w:space="0" w:color="auto"/>
                <w:right w:val="none" w:sz="0" w:space="0" w:color="auto"/>
              </w:divBdr>
              <w:divsChild>
                <w:div w:id="1280187182">
                  <w:marLeft w:val="0"/>
                  <w:marRight w:val="0"/>
                  <w:marTop w:val="0"/>
                  <w:marBottom w:val="0"/>
                  <w:divBdr>
                    <w:top w:val="none" w:sz="0" w:space="0" w:color="auto"/>
                    <w:left w:val="none" w:sz="0" w:space="0" w:color="auto"/>
                    <w:bottom w:val="none" w:sz="0" w:space="0" w:color="auto"/>
                    <w:right w:val="none" w:sz="0" w:space="0" w:color="auto"/>
                  </w:divBdr>
                  <w:divsChild>
                    <w:div w:id="137510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312</Words>
  <Characters>1779</Characters>
  <Application>Microsoft Office Word</Application>
  <DocSecurity>0</DocSecurity>
  <Lines>14</Lines>
  <Paragraphs>4</Paragraphs>
  <ScaleCrop>false</ScaleCrop>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2022-07-30T18:52:00Z</dcterms:created>
  <dcterms:modified xsi:type="dcterms:W3CDTF">2022-07-30T18:53:00Z</dcterms:modified>
</cp:coreProperties>
</file>