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E0F70" w14:textId="77777777" w:rsidR="003F6A9E" w:rsidRDefault="003F6A9E" w:rsidP="003F6A9E">
      <w:pPr>
        <w:pStyle w:val="NormalWeb"/>
      </w:pPr>
      <w:r>
        <w:rPr>
          <w:rFonts w:ascii="TimesNewRomanPSMT" w:hAnsi="TimesNewRomanPSMT"/>
        </w:rPr>
        <w:t xml:space="preserve">63) </w:t>
      </w:r>
      <w:r>
        <w:rPr>
          <w:rFonts w:ascii="TimesNewRomanPSMT" w:hAnsi="TimesNewRomanPSMT"/>
          <w:color w:val="0070BA"/>
        </w:rPr>
        <w:t xml:space="preserve">Association Between </w:t>
      </w:r>
      <w:r>
        <w:rPr>
          <w:rFonts w:ascii="TimesNewRomanPS" w:hAnsi="TimesNewRomanPS"/>
          <w:b/>
          <w:bCs/>
          <w:color w:val="0070BA"/>
        </w:rPr>
        <w:t xml:space="preserve">Endometriosis </w:t>
      </w:r>
      <w:r>
        <w:rPr>
          <w:rFonts w:ascii="TimesNewRomanPSMT" w:hAnsi="TimesNewRomanPSMT"/>
          <w:color w:val="0070BA"/>
        </w:rPr>
        <w:t xml:space="preserve">and Subsequent Risk of </w:t>
      </w:r>
      <w:proofErr w:type="spellStart"/>
      <w:r>
        <w:rPr>
          <w:rFonts w:ascii="TimesNewRomanPSMT" w:hAnsi="TimesNewRomanPSMT"/>
          <w:color w:val="0070BA"/>
        </w:rPr>
        <w:t>Sjögren's</w:t>
      </w:r>
      <w:proofErr w:type="spellEnd"/>
      <w:r>
        <w:rPr>
          <w:rFonts w:ascii="TimesNewRomanPSMT" w:hAnsi="TimesNewRomanPSMT"/>
          <w:color w:val="0070BA"/>
        </w:rPr>
        <w:t xml:space="preserve"> Syndrome: A Nationwide Population-Based Cohort Study. </w:t>
      </w:r>
    </w:p>
    <w:p w14:paraId="6C932423" w14:textId="77777777" w:rsidR="003F6A9E" w:rsidRDefault="003F6A9E" w:rsidP="003F6A9E">
      <w:pPr>
        <w:pStyle w:val="NormalWeb"/>
      </w:pPr>
      <w:r>
        <w:rPr>
          <w:rFonts w:ascii="TimesNewRomanPSMT" w:hAnsi="TimesNewRomanPSMT"/>
          <w:color w:val="1E1E1E"/>
        </w:rPr>
        <w:t xml:space="preserve">Chao YH, Liu CH, Pan YA, Yen FS, </w:t>
      </w:r>
      <w:proofErr w:type="spellStart"/>
      <w:r>
        <w:rPr>
          <w:rFonts w:ascii="TimesNewRomanPSMT" w:hAnsi="TimesNewRomanPSMT"/>
          <w:color w:val="1E1E1E"/>
        </w:rPr>
        <w:t>Chiou</w:t>
      </w:r>
      <w:proofErr w:type="spellEnd"/>
      <w:r>
        <w:rPr>
          <w:rFonts w:ascii="TimesNewRomanPSMT" w:hAnsi="TimesNewRomanPSMT"/>
          <w:color w:val="1E1E1E"/>
        </w:rPr>
        <w:t xml:space="preserve"> JY, Wei </w:t>
      </w:r>
      <w:proofErr w:type="spellStart"/>
      <w:proofErr w:type="gramStart"/>
      <w:r>
        <w:rPr>
          <w:rFonts w:ascii="TimesNewRomanPSMT" w:hAnsi="TimesNewRomanPSMT"/>
          <w:color w:val="1E1E1E"/>
        </w:rPr>
        <w:t>JC.</w:t>
      </w:r>
      <w:r>
        <w:rPr>
          <w:rFonts w:ascii="TimesNewRomanPSMT" w:hAnsi="TimesNewRomanPSMT"/>
          <w:color w:val="4C7F54"/>
        </w:rPr>
        <w:t>Front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Immunol. 2022 May </w:t>
      </w:r>
      <w:proofErr w:type="gramStart"/>
      <w:r>
        <w:rPr>
          <w:rFonts w:ascii="TimesNewRomanPSMT" w:hAnsi="TimesNewRomanPSMT"/>
          <w:color w:val="4C7F54"/>
        </w:rPr>
        <w:t>3;13:845944</w:t>
      </w:r>
      <w:proofErr w:type="gramEnd"/>
      <w:r>
        <w:rPr>
          <w:rFonts w:ascii="TimesNewRomanPSMT" w:hAnsi="TimesNewRomanPSMT"/>
          <w:color w:val="4C7F54"/>
        </w:rPr>
        <w:t xml:space="preserve">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10.3389/fimmu.2022.845944. </w:t>
      </w:r>
      <w:proofErr w:type="spellStart"/>
      <w:r>
        <w:rPr>
          <w:rFonts w:ascii="TimesNewRomanPSMT" w:hAnsi="TimesNewRomanPSMT"/>
          <w:color w:val="4C7F54"/>
        </w:rPr>
        <w:t>eCollection</w:t>
      </w:r>
      <w:proofErr w:type="spellEnd"/>
      <w:r>
        <w:rPr>
          <w:rFonts w:ascii="TimesNewRomanPSMT" w:hAnsi="TimesNewRomanPSMT"/>
          <w:color w:val="4C7F54"/>
        </w:rPr>
        <w:t xml:space="preserve"> 2022.PMID: 35592328 </w:t>
      </w:r>
      <w:r>
        <w:rPr>
          <w:rFonts w:ascii="TimesNewRomanPS" w:hAnsi="TimesNewRomanPS"/>
          <w:b/>
          <w:bCs/>
          <w:color w:val="BF5400"/>
        </w:rPr>
        <w:t xml:space="preserve">Free PMC article. </w:t>
      </w:r>
    </w:p>
    <w:p w14:paraId="63DE34A5" w14:textId="77777777" w:rsidR="003F6A9E" w:rsidRDefault="003F6A9E" w:rsidP="003F6A9E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>Abstract</w:t>
      </w:r>
      <w:r>
        <w:rPr>
          <w:rFonts w:ascii="TimesNewRomanPS" w:hAnsi="TimesNewRomanPS"/>
          <w:b/>
          <w:bCs/>
          <w:color w:val="1E1E1E"/>
        </w:rPr>
        <w:br/>
        <w:t xml:space="preserve">Objective: </w:t>
      </w:r>
      <w:r>
        <w:rPr>
          <w:rFonts w:ascii="TimesNewRomanPSMT" w:hAnsi="TimesNewRomanPSMT"/>
          <w:color w:val="1E1E1E"/>
        </w:rPr>
        <w:t xml:space="preserve">The relationship between endometriosis and the ensuing risk of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 </w:t>
      </w:r>
    </w:p>
    <w:p w14:paraId="5E96875D" w14:textId="77777777" w:rsidR="003F6A9E" w:rsidRDefault="003F6A9E" w:rsidP="003F6A9E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has remained unclear. This study aims to present epidemiological evidence for this connection. </w:t>
      </w:r>
    </w:p>
    <w:p w14:paraId="4FD3EA6D" w14:textId="77777777" w:rsidR="003F6A9E" w:rsidRDefault="003F6A9E" w:rsidP="003F6A9E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 xml:space="preserve">This is a retrospective cohort study of endometriosis patients (ICD-9-CM 617.0-617.9 and 621.3) and matched comparison group between 2000 and 2012 in the National Taiwan Insurance Research Database. After age matching, we </w:t>
      </w:r>
      <w:proofErr w:type="spellStart"/>
      <w:r>
        <w:rPr>
          <w:rFonts w:ascii="TimesNewRomanPSMT" w:hAnsi="TimesNewRomanPSMT"/>
          <w:color w:val="1E1E1E"/>
        </w:rPr>
        <w:t>analyzed</w:t>
      </w:r>
      <w:proofErr w:type="spellEnd"/>
      <w:r>
        <w:rPr>
          <w:rFonts w:ascii="TimesNewRomanPSMT" w:hAnsi="TimesNewRomanPSMT"/>
          <w:color w:val="1E1E1E"/>
        </w:rPr>
        <w:t xml:space="preserve"> the association between endometriosis and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 (ICD-9-CM 710.2). We used the Cox proportional hazard model to examine the hazard ratio of incidental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syndrome. Subgroup analyses on age, comorbidities, and disease duration were also performed. </w:t>
      </w:r>
    </w:p>
    <w:p w14:paraId="0FD54A2B" w14:textId="77777777" w:rsidR="003F6A9E" w:rsidRDefault="003F6A9E" w:rsidP="003F6A9E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A total of 73,665 individuals were included in this study. We identified 14733 newly diagnosed endometriosis patients and 58,932 non-endometriosis comparison group. The adjusted hazard ratio (HR) for incidental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 was 1.45 (95% confidence interval CI=1.27- 1.65) in the endometriosis group, compared to the non-endometriosis comparison group. In subgroup analysis, the adjusted HR was 1.53 (95% CI=1.25-1.88) in the age group of 20-39 and 1.41 (95% CI =1.18-1.68) in the age of 40-64. Time-vary analysis showed that endometriosis who have a follow-up time of fewer than five years (adjusted HR=1.57, 95% CI=1.32-1.87) have a significantly highest risk of having subsequent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syndrome. </w:t>
      </w:r>
    </w:p>
    <w:p w14:paraId="048AFCB0" w14:textId="77777777" w:rsidR="003F6A9E" w:rsidRDefault="003F6A9E" w:rsidP="003F6A9E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This population-based cohort study indicated that having a history of endometriosis puts patients at an increased risk of getting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 afterward, especially in the age group of 20-39 and within the first five years after the diagnosis of endometriosis. Clinicians should recognize this possible association in managing endometriosis or </w:t>
      </w:r>
      <w:proofErr w:type="spellStart"/>
      <w:r>
        <w:rPr>
          <w:rFonts w:ascii="TimesNewRomanPSMT" w:hAnsi="TimesNewRomanPSMT"/>
          <w:color w:val="1E1E1E"/>
        </w:rPr>
        <w:t>Sjögren's</w:t>
      </w:r>
      <w:proofErr w:type="spellEnd"/>
      <w:r>
        <w:rPr>
          <w:rFonts w:ascii="TimesNewRomanPSMT" w:hAnsi="TimesNewRomanPSMT"/>
          <w:color w:val="1E1E1E"/>
        </w:rPr>
        <w:t xml:space="preserve"> syndrome patients. </w:t>
      </w:r>
    </w:p>
    <w:p w14:paraId="630C8DBA" w14:textId="77777777" w:rsidR="003F6A9E" w:rsidRDefault="003F6A9E" w:rsidP="003F6A9E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Sjogren’s syndrome; autoimmune disease; cohort; endometriosis; epidemiology. </w:t>
      </w:r>
    </w:p>
    <w:p w14:paraId="06096EF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A9E"/>
    <w:rsid w:val="001C7F88"/>
    <w:rsid w:val="003F6A9E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901ECC"/>
  <w15:chartTrackingRefBased/>
  <w15:docId w15:val="{97C92213-D766-9642-BDB2-5075EB443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6A9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1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2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12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2022-07-30T18:53:00Z</dcterms:created>
  <dcterms:modified xsi:type="dcterms:W3CDTF">2022-07-30T18:53:00Z</dcterms:modified>
</cp:coreProperties>
</file>