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F9C532" w14:textId="77777777" w:rsidR="00FA07C2" w:rsidRDefault="00FA07C2" w:rsidP="00FA07C2">
      <w:pPr>
        <w:pStyle w:val="NormalWeb"/>
      </w:pPr>
      <w:r>
        <w:rPr>
          <w:rFonts w:ascii="TimesNewRomanPSMT" w:hAnsi="TimesNewRomanPSMT"/>
        </w:rPr>
        <w:t xml:space="preserve">64) </w:t>
      </w:r>
      <w:r>
        <w:rPr>
          <w:rFonts w:ascii="TimesNewRomanPSMT" w:hAnsi="TimesNewRomanPSMT"/>
          <w:color w:val="0070BA"/>
        </w:rPr>
        <w:t xml:space="preserve">Site-Specific Regulation of Sulfatase and Aromatase Pathways for </w:t>
      </w:r>
      <w:proofErr w:type="spellStart"/>
      <w:r>
        <w:rPr>
          <w:rFonts w:ascii="TimesNewRomanPSMT" w:hAnsi="TimesNewRomanPSMT"/>
          <w:color w:val="0070BA"/>
        </w:rPr>
        <w:t>Estrogen</w:t>
      </w:r>
      <w:proofErr w:type="spellEnd"/>
      <w:r>
        <w:rPr>
          <w:rFonts w:ascii="TimesNewRomanPSMT" w:hAnsi="TimesNewRomanPSMT"/>
          <w:color w:val="0070BA"/>
        </w:rPr>
        <w:t xml:space="preserve"> Production in </w:t>
      </w:r>
      <w:r>
        <w:rPr>
          <w:rFonts w:ascii="TimesNewRomanPS" w:hAnsi="TimesNewRomanPS"/>
          <w:b/>
          <w:bCs/>
          <w:color w:val="0070BA"/>
        </w:rPr>
        <w:t>Endometriosis</w:t>
      </w:r>
      <w:r>
        <w:rPr>
          <w:rFonts w:ascii="TimesNewRomanPSMT" w:hAnsi="TimesNewRomanPSMT"/>
          <w:color w:val="0070BA"/>
        </w:rPr>
        <w:t xml:space="preserve">. </w:t>
      </w:r>
    </w:p>
    <w:p w14:paraId="110EE7CF" w14:textId="77777777" w:rsidR="00FA07C2" w:rsidRDefault="00FA07C2" w:rsidP="00FA07C2">
      <w:pPr>
        <w:pStyle w:val="NormalWeb"/>
      </w:pPr>
      <w:r>
        <w:rPr>
          <w:rFonts w:ascii="TimesNewRomanPSMT" w:hAnsi="TimesNewRomanPSMT"/>
          <w:color w:val="1E1E1E"/>
        </w:rPr>
        <w:t xml:space="preserve">Da Costa KA, Malvezzi H, </w:t>
      </w:r>
      <w:proofErr w:type="spellStart"/>
      <w:r>
        <w:rPr>
          <w:rFonts w:ascii="TimesNewRomanPSMT" w:hAnsi="TimesNewRomanPSMT"/>
          <w:color w:val="1E1E1E"/>
        </w:rPr>
        <w:t>Dobo</w:t>
      </w:r>
      <w:proofErr w:type="spellEnd"/>
      <w:r>
        <w:rPr>
          <w:rFonts w:ascii="TimesNewRomanPSMT" w:hAnsi="TimesNewRomanPSMT"/>
          <w:color w:val="1E1E1E"/>
        </w:rPr>
        <w:t xml:space="preserve"> C, </w:t>
      </w:r>
      <w:proofErr w:type="spellStart"/>
      <w:r>
        <w:rPr>
          <w:rFonts w:ascii="TimesNewRomanPSMT" w:hAnsi="TimesNewRomanPSMT"/>
          <w:color w:val="1E1E1E"/>
        </w:rPr>
        <w:t>Neme</w:t>
      </w:r>
      <w:proofErr w:type="spellEnd"/>
      <w:r>
        <w:rPr>
          <w:rFonts w:ascii="TimesNewRomanPSMT" w:hAnsi="TimesNewRomanPSMT"/>
          <w:color w:val="1E1E1E"/>
        </w:rPr>
        <w:t xml:space="preserve"> RM, </w:t>
      </w:r>
      <w:proofErr w:type="spellStart"/>
      <w:r>
        <w:rPr>
          <w:rFonts w:ascii="TimesNewRomanPSMT" w:hAnsi="TimesNewRomanPSMT"/>
          <w:color w:val="1E1E1E"/>
        </w:rPr>
        <w:t>Filippi</w:t>
      </w:r>
      <w:proofErr w:type="spellEnd"/>
      <w:r>
        <w:rPr>
          <w:rFonts w:ascii="TimesNewRomanPSMT" w:hAnsi="TimesNewRomanPSMT"/>
          <w:color w:val="1E1E1E"/>
        </w:rPr>
        <w:t xml:space="preserve"> RZ, </w:t>
      </w:r>
      <w:proofErr w:type="spellStart"/>
      <w:r>
        <w:rPr>
          <w:rFonts w:ascii="TimesNewRomanPSMT" w:hAnsi="TimesNewRomanPSMT"/>
          <w:color w:val="1E1E1E"/>
        </w:rPr>
        <w:t>Aloia</w:t>
      </w:r>
      <w:proofErr w:type="spellEnd"/>
      <w:r>
        <w:rPr>
          <w:rFonts w:ascii="TimesNewRomanPSMT" w:hAnsi="TimesNewRomanPSMT"/>
          <w:color w:val="1E1E1E"/>
        </w:rPr>
        <w:t xml:space="preserve"> TPA, Prado ER, </w:t>
      </w:r>
      <w:proofErr w:type="spellStart"/>
      <w:r>
        <w:rPr>
          <w:rFonts w:ascii="TimesNewRomanPSMT" w:hAnsi="TimesNewRomanPSMT"/>
          <w:color w:val="1E1E1E"/>
        </w:rPr>
        <w:t>Meola</w:t>
      </w:r>
      <w:proofErr w:type="spellEnd"/>
      <w:r>
        <w:rPr>
          <w:rFonts w:ascii="TimesNewRomanPSMT" w:hAnsi="TimesNewRomanPSMT"/>
          <w:color w:val="1E1E1E"/>
        </w:rPr>
        <w:t xml:space="preserve"> J, </w:t>
      </w:r>
      <w:proofErr w:type="spellStart"/>
      <w:r>
        <w:rPr>
          <w:rFonts w:ascii="TimesNewRomanPSMT" w:hAnsi="TimesNewRomanPSMT"/>
          <w:color w:val="1E1E1E"/>
        </w:rPr>
        <w:t>Piccinato</w:t>
      </w:r>
      <w:proofErr w:type="spellEnd"/>
      <w:r>
        <w:rPr>
          <w:rFonts w:ascii="TimesNewRomanPSMT" w:hAnsi="TimesNewRomanPSMT"/>
          <w:color w:val="1E1E1E"/>
        </w:rPr>
        <w:t xml:space="preserve"> </w:t>
      </w:r>
      <w:proofErr w:type="spellStart"/>
      <w:proofErr w:type="gramStart"/>
      <w:r>
        <w:rPr>
          <w:rFonts w:ascii="TimesNewRomanPSMT" w:hAnsi="TimesNewRomanPSMT"/>
          <w:color w:val="1E1E1E"/>
        </w:rPr>
        <w:t>CA.</w:t>
      </w:r>
      <w:r>
        <w:rPr>
          <w:rFonts w:ascii="TimesNewRomanPSMT" w:hAnsi="TimesNewRomanPSMT"/>
          <w:color w:val="4C7F54"/>
        </w:rPr>
        <w:t>Front</w:t>
      </w:r>
      <w:proofErr w:type="spellEnd"/>
      <w:proofErr w:type="gramEnd"/>
      <w:r>
        <w:rPr>
          <w:rFonts w:ascii="TimesNewRomanPSMT" w:hAnsi="TimesNewRomanPSMT"/>
          <w:color w:val="4C7F54"/>
        </w:rPr>
        <w:t xml:space="preserve"> Mol </w:t>
      </w:r>
      <w:proofErr w:type="spellStart"/>
      <w:r>
        <w:rPr>
          <w:rFonts w:ascii="TimesNewRomanPSMT" w:hAnsi="TimesNewRomanPSMT"/>
          <w:color w:val="4C7F54"/>
        </w:rPr>
        <w:t>Biosci</w:t>
      </w:r>
      <w:proofErr w:type="spellEnd"/>
      <w:r>
        <w:rPr>
          <w:rFonts w:ascii="TimesNewRomanPSMT" w:hAnsi="TimesNewRomanPSMT"/>
          <w:color w:val="4C7F54"/>
        </w:rPr>
        <w:t xml:space="preserve">. 2022 May </w:t>
      </w:r>
      <w:proofErr w:type="gramStart"/>
      <w:r>
        <w:rPr>
          <w:rFonts w:ascii="TimesNewRomanPSMT" w:hAnsi="TimesNewRomanPSMT"/>
          <w:color w:val="4C7F54"/>
        </w:rPr>
        <w:t>3;9:854991</w:t>
      </w:r>
      <w:proofErr w:type="gramEnd"/>
      <w:r>
        <w:rPr>
          <w:rFonts w:ascii="TimesNewRomanPSMT" w:hAnsi="TimesNewRomanPSMT"/>
          <w:color w:val="4C7F54"/>
        </w:rPr>
        <w:t xml:space="preserve">. </w:t>
      </w:r>
      <w:proofErr w:type="spellStart"/>
      <w:r>
        <w:rPr>
          <w:rFonts w:ascii="TimesNewRomanPSMT" w:hAnsi="TimesNewRomanPSMT"/>
          <w:color w:val="4C7F54"/>
        </w:rPr>
        <w:t>doi</w:t>
      </w:r>
      <w:proofErr w:type="spellEnd"/>
      <w:r>
        <w:rPr>
          <w:rFonts w:ascii="TimesNewRomanPSMT" w:hAnsi="TimesNewRomanPSMT"/>
          <w:color w:val="4C7F54"/>
        </w:rPr>
        <w:t xml:space="preserve">: 10.3389/fmolb.2022.854991. </w:t>
      </w:r>
      <w:proofErr w:type="spellStart"/>
      <w:r>
        <w:rPr>
          <w:rFonts w:ascii="TimesNewRomanPSMT" w:hAnsi="TimesNewRomanPSMT"/>
          <w:color w:val="4C7F54"/>
        </w:rPr>
        <w:t>eCollection</w:t>
      </w:r>
      <w:proofErr w:type="spellEnd"/>
      <w:r>
        <w:rPr>
          <w:rFonts w:ascii="TimesNewRomanPSMT" w:hAnsi="TimesNewRomanPSMT"/>
          <w:color w:val="4C7F54"/>
        </w:rPr>
        <w:t xml:space="preserve"> 2022.PMID: 35591944 </w:t>
      </w:r>
      <w:r>
        <w:rPr>
          <w:rFonts w:ascii="TimesNewRomanPS" w:hAnsi="TimesNewRomanPS"/>
          <w:b/>
          <w:bCs/>
          <w:color w:val="BF5400"/>
        </w:rPr>
        <w:t xml:space="preserve">Free PMC article. </w:t>
      </w:r>
    </w:p>
    <w:p w14:paraId="03DF9F1C" w14:textId="77777777" w:rsidR="00FA07C2" w:rsidRDefault="00FA07C2" w:rsidP="00FA07C2">
      <w:pPr>
        <w:pStyle w:val="NormalWeb"/>
        <w:shd w:val="clear" w:color="auto" w:fill="FFFFFF"/>
      </w:pPr>
      <w:r>
        <w:rPr>
          <w:rFonts w:ascii="TimesNewRomanPS" w:hAnsi="TimesNewRomanPS"/>
          <w:b/>
          <w:bCs/>
          <w:color w:val="1E1E1E"/>
        </w:rPr>
        <w:t xml:space="preserve">Abstract </w:t>
      </w:r>
    </w:p>
    <w:p w14:paraId="34E79D69" w14:textId="77777777" w:rsidR="00FA07C2" w:rsidRDefault="00FA07C2" w:rsidP="00FA07C2">
      <w:pPr>
        <w:pStyle w:val="NormalWeb"/>
        <w:shd w:val="clear" w:color="auto" w:fill="FFFFFF"/>
      </w:pPr>
      <w:r>
        <w:rPr>
          <w:rFonts w:ascii="TimesNewRomanPSMT" w:hAnsi="TimesNewRomanPSMT"/>
          <w:color w:val="1E1E1E"/>
        </w:rPr>
        <w:t xml:space="preserve">Endometriosis is a highly prevalent </w:t>
      </w:r>
      <w:proofErr w:type="spellStart"/>
      <w:r>
        <w:rPr>
          <w:rFonts w:ascii="TimesNewRomanPSMT" w:hAnsi="TimesNewRomanPSMT"/>
          <w:color w:val="1E1E1E"/>
        </w:rPr>
        <w:t>gynecological</w:t>
      </w:r>
      <w:proofErr w:type="spellEnd"/>
      <w:r>
        <w:rPr>
          <w:rFonts w:ascii="TimesNewRomanPSMT" w:hAnsi="TimesNewRomanPSMT"/>
          <w:color w:val="1E1E1E"/>
        </w:rPr>
        <w:t xml:space="preserve"> disease characterized by lesions in different sites. Regulation of specific </w:t>
      </w:r>
      <w:proofErr w:type="spellStart"/>
      <w:r>
        <w:rPr>
          <w:rFonts w:ascii="TimesNewRomanPSMT" w:hAnsi="TimesNewRomanPSMT"/>
          <w:color w:val="1E1E1E"/>
        </w:rPr>
        <w:t>estrogen</w:t>
      </w:r>
      <w:proofErr w:type="spellEnd"/>
      <w:r>
        <w:rPr>
          <w:rFonts w:ascii="TimesNewRomanPSMT" w:hAnsi="TimesNewRomanPSMT"/>
          <w:color w:val="1E1E1E"/>
        </w:rPr>
        <w:t xml:space="preserve"> pathways may </w:t>
      </w:r>
      <w:proofErr w:type="spellStart"/>
      <w:r>
        <w:rPr>
          <w:rFonts w:ascii="TimesNewRomanPSMT" w:hAnsi="TimesNewRomanPSMT"/>
          <w:color w:val="1E1E1E"/>
        </w:rPr>
        <w:t>favor</w:t>
      </w:r>
      <w:proofErr w:type="spellEnd"/>
      <w:r>
        <w:rPr>
          <w:rFonts w:ascii="TimesNewRomanPSMT" w:hAnsi="TimesNewRomanPSMT"/>
          <w:color w:val="1E1E1E"/>
        </w:rPr>
        <w:t xml:space="preserve"> the formation of distinct microenvironments and the progression of endometriosis. However, no study has simultaneously evaluated the gene and protein regulation of the main </w:t>
      </w:r>
      <w:proofErr w:type="spellStart"/>
      <w:r>
        <w:rPr>
          <w:rFonts w:ascii="TimesNewRomanPSMT" w:hAnsi="TimesNewRomanPSMT"/>
          <w:color w:val="1E1E1E"/>
        </w:rPr>
        <w:t>estrogen</w:t>
      </w:r>
      <w:proofErr w:type="spellEnd"/>
      <w:r>
        <w:rPr>
          <w:rFonts w:ascii="TimesNewRomanPSMT" w:hAnsi="TimesNewRomanPSMT"/>
          <w:color w:val="1E1E1E"/>
        </w:rPr>
        <w:t>-synthesizing enzymes in endometriosis. Thus, our goals were to study the relationship between gene and protein expression of aromatase (</w:t>
      </w:r>
      <w:r>
        <w:rPr>
          <w:rFonts w:ascii="TimesNewRomanPS" w:hAnsi="TimesNewRomanPS"/>
          <w:i/>
          <w:iCs/>
          <w:color w:val="1E1E1E"/>
        </w:rPr>
        <w:t xml:space="preserve">CYP19A1 </w:t>
      </w:r>
      <w:r>
        <w:rPr>
          <w:rFonts w:ascii="TimesNewRomanPSMT" w:hAnsi="TimesNewRomanPSMT"/>
          <w:color w:val="1E1E1E"/>
        </w:rPr>
        <w:t xml:space="preserve">or ARO), steroid sulfatase (STS), and hydroxysteroid 17- beta dehydrogenase (HSD17B1) in superficial (SUP), ovarian (OMA), and deep infiltrating (DIE) endometriotic lesion sites as well as in the </w:t>
      </w:r>
      <w:proofErr w:type="spellStart"/>
      <w:r>
        <w:rPr>
          <w:rFonts w:ascii="TimesNewRomanPSMT" w:hAnsi="TimesNewRomanPSMT"/>
          <w:color w:val="1E1E1E"/>
        </w:rPr>
        <w:t>eutopic</w:t>
      </w:r>
      <w:proofErr w:type="spellEnd"/>
      <w:r>
        <w:rPr>
          <w:rFonts w:ascii="TimesNewRomanPSMT" w:hAnsi="TimesNewRomanPSMT"/>
          <w:color w:val="1E1E1E"/>
        </w:rPr>
        <w:t xml:space="preserve"> endometrium of patients with (EE) and without (control) endometriosis in the same and large cohort of patients. The site-specific expression of these enzymes within different cells (glandular and stromal components) was also explored. The study included 108 patients surgically diagnosed with endometriosis who provided biopsies of EE and endometriotic lesions and 16 disease-free patients who collected normal endometrium tissue. Our results showed that </w:t>
      </w:r>
      <w:r>
        <w:rPr>
          <w:rFonts w:ascii="TimesNewRomanPS" w:hAnsi="TimesNewRomanPS"/>
          <w:i/>
          <w:iCs/>
          <w:color w:val="1E1E1E"/>
        </w:rPr>
        <w:t xml:space="preserve">CYP19A1 </w:t>
      </w:r>
      <w:r>
        <w:rPr>
          <w:rFonts w:ascii="TimesNewRomanPSMT" w:hAnsi="TimesNewRomanPSMT"/>
          <w:color w:val="1E1E1E"/>
        </w:rPr>
        <w:t xml:space="preserve">was detected in all endometriosis tissues and was in higher levels than in control. Unique patterns of the </w:t>
      </w:r>
      <w:r>
        <w:rPr>
          <w:rFonts w:ascii="TimesNewRomanPS" w:hAnsi="TimesNewRomanPS"/>
          <w:i/>
          <w:iCs/>
          <w:color w:val="1E1E1E"/>
        </w:rPr>
        <w:t xml:space="preserve">STS </w:t>
      </w:r>
      <w:r>
        <w:rPr>
          <w:rFonts w:ascii="TimesNewRomanPSMT" w:hAnsi="TimesNewRomanPSMT"/>
          <w:color w:val="1E1E1E"/>
        </w:rPr>
        <w:t xml:space="preserve">and </w:t>
      </w:r>
      <w:r>
        <w:rPr>
          <w:rFonts w:ascii="TimesNewRomanPS" w:hAnsi="TimesNewRomanPS"/>
          <w:i/>
          <w:iCs/>
          <w:color w:val="1E1E1E"/>
        </w:rPr>
        <w:t xml:space="preserve">HSD17B1 </w:t>
      </w:r>
      <w:r>
        <w:rPr>
          <w:rFonts w:ascii="TimesNewRomanPSMT" w:hAnsi="TimesNewRomanPSMT"/>
          <w:color w:val="1E1E1E"/>
        </w:rPr>
        <w:t xml:space="preserve">levels showed that they were most closely regulated in all tissues, with manifestation at greater levels in DIE compared to the other endometriotic lesion sites, OMA and SUP. Gene and protein expression of ARO, STS, and HSD17B1 occurred at different rates in endometriotic sites or EE. The distinctive levels of these </w:t>
      </w:r>
      <w:proofErr w:type="spellStart"/>
      <w:r>
        <w:rPr>
          <w:rFonts w:ascii="TimesNewRomanPSMT" w:hAnsi="TimesNewRomanPSMT"/>
          <w:color w:val="1E1E1E"/>
        </w:rPr>
        <w:t>estrogen</w:t>
      </w:r>
      <w:proofErr w:type="spellEnd"/>
      <w:r>
        <w:rPr>
          <w:rFonts w:ascii="TimesNewRomanPSMT" w:hAnsi="TimesNewRomanPSMT"/>
          <w:color w:val="1E1E1E"/>
        </w:rPr>
        <w:t xml:space="preserve">-synthesizing enzymes in each endometriotic site support the hypothesis of a tissue microenvironment that can both influence and be influenced by the expression of different estrogenic pathways, locally affecting the availability of </w:t>
      </w:r>
      <w:proofErr w:type="spellStart"/>
      <w:r>
        <w:rPr>
          <w:rFonts w:ascii="TimesNewRomanPSMT" w:hAnsi="TimesNewRomanPSMT"/>
          <w:color w:val="1E1E1E"/>
        </w:rPr>
        <w:t>estrogen</w:t>
      </w:r>
      <w:proofErr w:type="spellEnd"/>
      <w:r>
        <w:rPr>
          <w:rFonts w:ascii="TimesNewRomanPSMT" w:hAnsi="TimesNewRomanPSMT"/>
          <w:color w:val="1E1E1E"/>
        </w:rPr>
        <w:t xml:space="preserve"> needed for maintenance and progression of endometriotic lesions. </w:t>
      </w:r>
    </w:p>
    <w:p w14:paraId="348E8D60" w14:textId="77777777" w:rsidR="00FA07C2" w:rsidRDefault="00FA07C2" w:rsidP="00FA07C2">
      <w:pPr>
        <w:pStyle w:val="NormalWeb"/>
        <w:shd w:val="clear" w:color="auto" w:fill="FFFFFF"/>
      </w:pPr>
      <w:r>
        <w:rPr>
          <w:rFonts w:ascii="TimesNewRomanPS" w:hAnsi="TimesNewRomanPS"/>
          <w:b/>
          <w:bCs/>
          <w:color w:val="1E1E1E"/>
        </w:rPr>
        <w:t xml:space="preserve">Keywords: </w:t>
      </w:r>
      <w:r>
        <w:rPr>
          <w:rFonts w:ascii="TimesNewRomanPSMT" w:hAnsi="TimesNewRomanPSMT"/>
          <w:color w:val="1E1E1E"/>
        </w:rPr>
        <w:t xml:space="preserve">CYP19A1; HSD17B1; STS; aromatase; endometrium; </w:t>
      </w:r>
      <w:proofErr w:type="spellStart"/>
      <w:r>
        <w:rPr>
          <w:rFonts w:ascii="TimesNewRomanPSMT" w:hAnsi="TimesNewRomanPSMT"/>
          <w:color w:val="1E1E1E"/>
        </w:rPr>
        <w:t>estradiol</w:t>
      </w:r>
      <w:proofErr w:type="spellEnd"/>
      <w:r>
        <w:rPr>
          <w:rFonts w:ascii="TimesNewRomanPSMT" w:hAnsi="TimesNewRomanPSMT"/>
          <w:color w:val="1E1E1E"/>
        </w:rPr>
        <w:t xml:space="preserve">; glandular cells; stromal cells. </w:t>
      </w:r>
    </w:p>
    <w:p w14:paraId="492A1E1C"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TimesNewRomanPSMT">
    <w:altName w:val="Times New Roman"/>
    <w:panose1 w:val="020B0604020202020204"/>
    <w:charset w:val="00"/>
    <w:family w:val="roman"/>
    <w:notTrueType/>
    <w:pitch w:val="default"/>
  </w:font>
  <w:font w:name="TimesNewRomanPS">
    <w:altName w:val="Times New Roman"/>
    <w:panose1 w:val="020B0604020202020204"/>
    <w:charset w:val="00"/>
    <w:family w:val="roman"/>
    <w:notTrueType/>
    <w:pitch w:val="default"/>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07C2"/>
    <w:rsid w:val="001C7F88"/>
    <w:rsid w:val="00432D50"/>
    <w:rsid w:val="00875F78"/>
    <w:rsid w:val="00A74000"/>
    <w:rsid w:val="00B02158"/>
    <w:rsid w:val="00BE7B39"/>
    <w:rsid w:val="00D10F9D"/>
    <w:rsid w:val="00D30F83"/>
    <w:rsid w:val="00D7461F"/>
    <w:rsid w:val="00DB67B4"/>
    <w:rsid w:val="00F21CD6"/>
    <w:rsid w:val="00FA07C2"/>
    <w:rsid w:val="00FE24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6258649E"/>
  <w15:chartTrackingRefBased/>
  <w15:docId w15:val="{5A50A085-3CB0-E148-91F5-D3662D9398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A07C2"/>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88320524">
      <w:bodyDiv w:val="1"/>
      <w:marLeft w:val="0"/>
      <w:marRight w:val="0"/>
      <w:marTop w:val="0"/>
      <w:marBottom w:val="0"/>
      <w:divBdr>
        <w:top w:val="none" w:sz="0" w:space="0" w:color="auto"/>
        <w:left w:val="none" w:sz="0" w:space="0" w:color="auto"/>
        <w:bottom w:val="none" w:sz="0" w:space="0" w:color="auto"/>
        <w:right w:val="none" w:sz="0" w:space="0" w:color="auto"/>
      </w:divBdr>
      <w:divsChild>
        <w:div w:id="369963405">
          <w:marLeft w:val="0"/>
          <w:marRight w:val="0"/>
          <w:marTop w:val="0"/>
          <w:marBottom w:val="0"/>
          <w:divBdr>
            <w:top w:val="none" w:sz="0" w:space="0" w:color="auto"/>
            <w:left w:val="none" w:sz="0" w:space="0" w:color="auto"/>
            <w:bottom w:val="none" w:sz="0" w:space="0" w:color="auto"/>
            <w:right w:val="none" w:sz="0" w:space="0" w:color="auto"/>
          </w:divBdr>
          <w:divsChild>
            <w:div w:id="292910510">
              <w:marLeft w:val="0"/>
              <w:marRight w:val="0"/>
              <w:marTop w:val="0"/>
              <w:marBottom w:val="0"/>
              <w:divBdr>
                <w:top w:val="none" w:sz="0" w:space="0" w:color="auto"/>
                <w:left w:val="none" w:sz="0" w:space="0" w:color="auto"/>
                <w:bottom w:val="none" w:sz="0" w:space="0" w:color="auto"/>
                <w:right w:val="none" w:sz="0" w:space="0" w:color="auto"/>
              </w:divBdr>
              <w:divsChild>
                <w:div w:id="2064714056">
                  <w:marLeft w:val="0"/>
                  <w:marRight w:val="0"/>
                  <w:marTop w:val="0"/>
                  <w:marBottom w:val="0"/>
                  <w:divBdr>
                    <w:top w:val="none" w:sz="0" w:space="0" w:color="auto"/>
                    <w:left w:val="none" w:sz="0" w:space="0" w:color="auto"/>
                    <w:bottom w:val="none" w:sz="0" w:space="0" w:color="auto"/>
                    <w:right w:val="none" w:sz="0" w:space="0" w:color="auto"/>
                  </w:divBdr>
                </w:div>
              </w:divsChild>
            </w:div>
            <w:div w:id="2020545064">
              <w:marLeft w:val="0"/>
              <w:marRight w:val="0"/>
              <w:marTop w:val="0"/>
              <w:marBottom w:val="0"/>
              <w:divBdr>
                <w:top w:val="none" w:sz="0" w:space="0" w:color="auto"/>
                <w:left w:val="none" w:sz="0" w:space="0" w:color="auto"/>
                <w:bottom w:val="none" w:sz="0" w:space="0" w:color="auto"/>
                <w:right w:val="none" w:sz="0" w:space="0" w:color="auto"/>
              </w:divBdr>
              <w:divsChild>
                <w:div w:id="1606426135">
                  <w:marLeft w:val="0"/>
                  <w:marRight w:val="0"/>
                  <w:marTop w:val="0"/>
                  <w:marBottom w:val="0"/>
                  <w:divBdr>
                    <w:top w:val="none" w:sz="0" w:space="0" w:color="auto"/>
                    <w:left w:val="none" w:sz="0" w:space="0" w:color="auto"/>
                    <w:bottom w:val="none" w:sz="0" w:space="0" w:color="auto"/>
                    <w:right w:val="none" w:sz="0" w:space="0" w:color="auto"/>
                  </w:divBdr>
                  <w:divsChild>
                    <w:div w:id="1017392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349</Words>
  <Characters>1994</Characters>
  <Application>Microsoft Office Word</Application>
  <DocSecurity>0</DocSecurity>
  <Lines>16</Lines>
  <Paragraphs>4</Paragraphs>
  <ScaleCrop>false</ScaleCrop>
  <Company/>
  <LinksUpToDate>false</LinksUpToDate>
  <CharactersWithSpaces>2339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2022-07-30T18:53:00Z</dcterms:created>
  <dcterms:modified xsi:type="dcterms:W3CDTF">2022-07-30T18:54:00Z</dcterms:modified>
</cp:coreProperties>
</file>