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8F0A1" w14:textId="77777777" w:rsidR="00D15295" w:rsidRPr="00D15295" w:rsidRDefault="00D15295" w:rsidP="00D15295">
      <w:pPr>
        <w:spacing w:before="100" w:beforeAutospacing="1" w:after="100" w:afterAutospacing="1"/>
        <w:rPr>
          <w:rFonts w:ascii="Times New Roman" w:eastAsia="Times New Roman" w:hAnsi="Times New Roman" w:cs="Times New Roman"/>
          <w:lang w:eastAsia="en-GB"/>
        </w:rPr>
      </w:pPr>
      <w:r w:rsidRPr="00D15295">
        <w:rPr>
          <w:rFonts w:ascii="TimesNewRomanPSMT" w:eastAsia="Times New Roman" w:hAnsi="TimesNewRomanPSMT" w:cs="Times New Roman"/>
          <w:lang w:eastAsia="en-GB"/>
        </w:rPr>
        <w:t xml:space="preserve">65) </w:t>
      </w:r>
      <w:r w:rsidRPr="00D15295">
        <w:rPr>
          <w:rFonts w:ascii="TimesNewRomanPSMT" w:eastAsia="Times New Roman" w:hAnsi="TimesNewRomanPSMT" w:cs="Times New Roman"/>
          <w:color w:val="0070BA"/>
          <w:lang w:eastAsia="en-GB"/>
        </w:rPr>
        <w:t xml:space="preserve">Reduced cardiovascular risks in women with </w:t>
      </w:r>
      <w:r w:rsidRPr="00D15295">
        <w:rPr>
          <w:rFonts w:ascii="TimesNewRomanPS" w:eastAsia="Times New Roman" w:hAnsi="TimesNewRomanPS" w:cs="Times New Roman"/>
          <w:b/>
          <w:bCs/>
          <w:color w:val="0070BA"/>
          <w:lang w:eastAsia="en-GB"/>
        </w:rPr>
        <w:t xml:space="preserve">endometriosis </w:t>
      </w:r>
      <w:r w:rsidRPr="00D15295">
        <w:rPr>
          <w:rFonts w:ascii="TimesNewRomanPSMT" w:eastAsia="Times New Roman" w:hAnsi="TimesNewRomanPSMT" w:cs="Times New Roman"/>
          <w:color w:val="0070BA"/>
          <w:lang w:eastAsia="en-GB"/>
        </w:rPr>
        <w:t xml:space="preserve">or polycystic ovary syndrome carrying a common functional IGF1R variant. </w:t>
      </w:r>
    </w:p>
    <w:p w14:paraId="442430B2" w14:textId="77777777" w:rsidR="00D15295" w:rsidRPr="00D15295" w:rsidRDefault="00D15295" w:rsidP="00D15295">
      <w:pPr>
        <w:spacing w:before="100" w:beforeAutospacing="1" w:after="100" w:afterAutospacing="1"/>
        <w:rPr>
          <w:rFonts w:ascii="Times New Roman" w:eastAsia="Times New Roman" w:hAnsi="Times New Roman" w:cs="Times New Roman"/>
          <w:lang w:eastAsia="en-GB"/>
        </w:rPr>
      </w:pPr>
      <w:r w:rsidRPr="00D15295">
        <w:rPr>
          <w:rFonts w:ascii="TimesNewRomanPSMT" w:eastAsia="Times New Roman" w:hAnsi="TimesNewRomanPSMT" w:cs="Times New Roman"/>
          <w:color w:val="1E1E1E"/>
          <w:lang w:eastAsia="en-GB"/>
        </w:rPr>
        <w:t xml:space="preserve">Powell MJ, Fuller S, Gunderson EP, Benz </w:t>
      </w:r>
      <w:proofErr w:type="spellStart"/>
      <w:proofErr w:type="gramStart"/>
      <w:r w:rsidRPr="00D15295">
        <w:rPr>
          <w:rFonts w:ascii="TimesNewRomanPSMT" w:eastAsia="Times New Roman" w:hAnsi="TimesNewRomanPSMT" w:cs="Times New Roman"/>
          <w:color w:val="1E1E1E"/>
          <w:lang w:eastAsia="en-GB"/>
        </w:rPr>
        <w:t>CC.</w:t>
      </w:r>
      <w:r w:rsidRPr="00D15295">
        <w:rPr>
          <w:rFonts w:ascii="TimesNewRomanPSMT" w:eastAsia="Times New Roman" w:hAnsi="TimesNewRomanPSMT" w:cs="Times New Roman"/>
          <w:color w:val="4C7F54"/>
          <w:lang w:eastAsia="en-GB"/>
        </w:rPr>
        <w:t>Hum</w:t>
      </w:r>
      <w:proofErr w:type="spellEnd"/>
      <w:proofErr w:type="gramEnd"/>
      <w:r w:rsidRPr="00D15295">
        <w:rPr>
          <w:rFonts w:ascii="TimesNewRomanPSMT" w:eastAsia="Times New Roman" w:hAnsi="TimesNewRomanPSMT" w:cs="Times New Roman"/>
          <w:color w:val="4C7F54"/>
          <w:lang w:eastAsia="en-GB"/>
        </w:rPr>
        <w:t xml:space="preserve"> </w:t>
      </w:r>
      <w:proofErr w:type="spellStart"/>
      <w:r w:rsidRPr="00D15295">
        <w:rPr>
          <w:rFonts w:ascii="TimesNewRomanPSMT" w:eastAsia="Times New Roman" w:hAnsi="TimesNewRomanPSMT" w:cs="Times New Roman"/>
          <w:color w:val="4C7F54"/>
          <w:lang w:eastAsia="en-GB"/>
        </w:rPr>
        <w:t>Reprod</w:t>
      </w:r>
      <w:proofErr w:type="spellEnd"/>
      <w:r w:rsidRPr="00D15295">
        <w:rPr>
          <w:rFonts w:ascii="TimesNewRomanPSMT" w:eastAsia="Times New Roman" w:hAnsi="TimesNewRomanPSMT" w:cs="Times New Roman"/>
          <w:color w:val="4C7F54"/>
          <w:lang w:eastAsia="en-GB"/>
        </w:rPr>
        <w:t xml:space="preserve">. 2022 May 3;37(5):1083-1094. </w:t>
      </w:r>
      <w:proofErr w:type="spellStart"/>
      <w:r w:rsidRPr="00D15295">
        <w:rPr>
          <w:rFonts w:ascii="TimesNewRomanPSMT" w:eastAsia="Times New Roman" w:hAnsi="TimesNewRomanPSMT" w:cs="Times New Roman"/>
          <w:color w:val="4C7F54"/>
          <w:lang w:eastAsia="en-GB"/>
        </w:rPr>
        <w:t>doi</w:t>
      </w:r>
      <w:proofErr w:type="spellEnd"/>
      <w:r w:rsidRPr="00D15295">
        <w:rPr>
          <w:rFonts w:ascii="TimesNewRomanPSMT" w:eastAsia="Times New Roman" w:hAnsi="TimesNewRomanPSMT" w:cs="Times New Roman"/>
          <w:color w:val="4C7F54"/>
          <w:lang w:eastAsia="en-GB"/>
        </w:rPr>
        <w:t>: 10.1093/</w:t>
      </w:r>
      <w:proofErr w:type="spellStart"/>
      <w:r w:rsidRPr="00D15295">
        <w:rPr>
          <w:rFonts w:ascii="TimesNewRomanPSMT" w:eastAsia="Times New Roman" w:hAnsi="TimesNewRomanPSMT" w:cs="Times New Roman"/>
          <w:color w:val="4C7F54"/>
          <w:lang w:eastAsia="en-GB"/>
        </w:rPr>
        <w:t>humrep</w:t>
      </w:r>
      <w:proofErr w:type="spellEnd"/>
      <w:r w:rsidRPr="00D15295">
        <w:rPr>
          <w:rFonts w:ascii="TimesNewRomanPSMT" w:eastAsia="Times New Roman" w:hAnsi="TimesNewRomanPSMT" w:cs="Times New Roman"/>
          <w:color w:val="4C7F54"/>
          <w:lang w:eastAsia="en-GB"/>
        </w:rPr>
        <w:t xml:space="preserve">/deac059.PMID: 35362533 </w:t>
      </w:r>
      <w:r w:rsidRPr="00D15295">
        <w:rPr>
          <w:rFonts w:ascii="TimesNewRomanPS" w:eastAsia="Times New Roman" w:hAnsi="TimesNewRomanPS" w:cs="Times New Roman"/>
          <w:b/>
          <w:bCs/>
          <w:color w:val="BF5400"/>
          <w:lang w:eastAsia="en-GB"/>
        </w:rPr>
        <w:t xml:space="preserve">Free PMC article. </w:t>
      </w:r>
    </w:p>
    <w:p w14:paraId="3B6CFF32"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Abstract </w:t>
      </w:r>
    </w:p>
    <w:p w14:paraId="5F86F588"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Study question: </w:t>
      </w:r>
      <w:r w:rsidRPr="00D15295">
        <w:rPr>
          <w:rFonts w:ascii="TimesNewRomanPSMT" w:eastAsia="Times New Roman" w:hAnsi="TimesNewRomanPSMT" w:cs="Times New Roman"/>
          <w:color w:val="1E1E1E"/>
          <w:lang w:eastAsia="en-GB"/>
        </w:rPr>
        <w:t xml:space="preserve">Is the increased future cardiovascular risk seen in women with endometriosis or polycystic ovary syndrome (PCOS) mitigated by functional insulin-like growth factor-1 receptor (IGF1R) single-nucleotide polymorphism (SNP) rs2016347 as previously shown in women with hypertensive disorders of pregnancy? </w:t>
      </w:r>
    </w:p>
    <w:p w14:paraId="5786507A"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Summary answer: </w:t>
      </w:r>
      <w:r w:rsidRPr="00D15295">
        <w:rPr>
          <w:rFonts w:ascii="TimesNewRomanPSMT" w:eastAsia="Times New Roman" w:hAnsi="TimesNewRomanPSMT" w:cs="Times New Roman"/>
          <w:color w:val="1E1E1E"/>
          <w:lang w:eastAsia="en-GB"/>
        </w:rPr>
        <w:t xml:space="preserve">This cohort study found that women with endometriosis or PCOS who carry a T allele of IGF1R SNP rs2016347 had a reduced future risk of developing cardiovascular disease (CVD) and associated risk factors, with risk reduction dependent on cohort era. </w:t>
      </w:r>
    </w:p>
    <w:p w14:paraId="56CA2BA4"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What is known already: </w:t>
      </w:r>
      <w:r w:rsidRPr="00D15295">
        <w:rPr>
          <w:rFonts w:ascii="TimesNewRomanPSMT" w:eastAsia="Times New Roman" w:hAnsi="TimesNewRomanPSMT" w:cs="Times New Roman"/>
          <w:color w:val="1E1E1E"/>
          <w:lang w:eastAsia="en-GB"/>
        </w:rPr>
        <w:t xml:space="preserve">Women with endometriosis or PCOS have been shown to have an increased future risk of CVD and associated risk factors with limited predictive ability. </w:t>
      </w:r>
    </w:p>
    <w:p w14:paraId="24F90BD2"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Study design, size, duration: </w:t>
      </w:r>
      <w:r w:rsidRPr="00D15295">
        <w:rPr>
          <w:rFonts w:ascii="TimesNewRomanPSMT" w:eastAsia="Times New Roman" w:hAnsi="TimesNewRomanPSMT" w:cs="Times New Roman"/>
          <w:color w:val="1E1E1E"/>
          <w:lang w:eastAsia="en-GB"/>
        </w:rPr>
        <w:t xml:space="preserve">This retrospective cohort study took place in the Nurses' Health Study 2 (NHS2), which enrolled 116 430 participants in 1989 who were followed through 2015. The study population was </w:t>
      </w:r>
      <w:proofErr w:type="spellStart"/>
      <w:r w:rsidRPr="00D15295">
        <w:rPr>
          <w:rFonts w:ascii="TimesNewRomanPSMT" w:eastAsia="Times New Roman" w:hAnsi="TimesNewRomanPSMT" w:cs="Times New Roman"/>
          <w:color w:val="1E1E1E"/>
          <w:lang w:eastAsia="en-GB"/>
        </w:rPr>
        <w:t>analyzed</w:t>
      </w:r>
      <w:proofErr w:type="spellEnd"/>
      <w:r w:rsidRPr="00D15295">
        <w:rPr>
          <w:rFonts w:ascii="TimesNewRomanPSMT" w:eastAsia="Times New Roman" w:hAnsi="TimesNewRomanPSMT" w:cs="Times New Roman"/>
          <w:color w:val="1E1E1E"/>
          <w:lang w:eastAsia="en-GB"/>
        </w:rPr>
        <w:t xml:space="preserve"> in its </w:t>
      </w:r>
      <w:proofErr w:type="gramStart"/>
      <w:r w:rsidRPr="00D15295">
        <w:rPr>
          <w:rFonts w:ascii="TimesNewRomanPSMT" w:eastAsia="Times New Roman" w:hAnsi="TimesNewRomanPSMT" w:cs="Times New Roman"/>
          <w:color w:val="1E1E1E"/>
          <w:lang w:eastAsia="en-GB"/>
        </w:rPr>
        <w:t>entirety, and</w:t>
      </w:r>
      <w:proofErr w:type="gramEnd"/>
      <w:r w:rsidRPr="00D15295">
        <w:rPr>
          <w:rFonts w:ascii="TimesNewRomanPSMT" w:eastAsia="Times New Roman" w:hAnsi="TimesNewRomanPSMT" w:cs="Times New Roman"/>
          <w:color w:val="1E1E1E"/>
          <w:lang w:eastAsia="en-GB"/>
        </w:rPr>
        <w:t xml:space="preserve"> subdivided into entry (pre-1989) and after entry (post-1989) exposure cohorts. All NHS2 participants were eligible for inclusion in the study, 9599 (8.2%) were excluded for missing covariates. </w:t>
      </w:r>
    </w:p>
    <w:p w14:paraId="01473795"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Participants/materials, setting, methods: </w:t>
      </w:r>
      <w:r w:rsidRPr="00D15295">
        <w:rPr>
          <w:rFonts w:ascii="TimesNewRomanPSMT" w:eastAsia="Times New Roman" w:hAnsi="TimesNewRomanPSMT" w:cs="Times New Roman"/>
          <w:color w:val="1E1E1E"/>
          <w:lang w:eastAsia="en-GB"/>
        </w:rPr>
        <w:t xml:space="preserve">The NHS2 enrolled female registered nurses from 14 different states who ranged in age from 25 to 42 years at study entry. Data were collected from entry and biennial questionnaires, and analysis conducted from November 2020 to June 2021. Cox proportional hazard models were used to assess risk of CVD, hypertension (HTN), hypercholesterolemia (HC) and type 2 diabetes, both with and without genotyping for rs2016347. </w:t>
      </w:r>
    </w:p>
    <w:p w14:paraId="242BFCC3"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Main results and the role of chance: </w:t>
      </w:r>
      <w:r w:rsidRPr="00D15295">
        <w:rPr>
          <w:rFonts w:ascii="TimesNewRomanPSMT" w:eastAsia="Times New Roman" w:hAnsi="TimesNewRomanPSMT" w:cs="Times New Roman"/>
          <w:color w:val="1E1E1E"/>
          <w:lang w:eastAsia="en-GB"/>
        </w:rPr>
        <w:t xml:space="preserve">While women without endometriosis or PCOS, as a whole, demonstrated no impact of genotype on risk in either cohort, women with endometriosis carrying a T allele had a lower risk of CVD (hazard ratio (HR), 0.48; 95% CI, 0.27-0.86, P = 0.02) and HTN (HR, 0.80; 95% CI, 0.66-0.97, P = 0.03) in the pre-1989 cohort, while those in the post-1989 cohort had a decrease in risk for HC (HR, 0.76; 95% CI, 0.62-0.94, P = 0.01). Women with PCOS in the post-1989 cohort showed a significant protective impact of the T allele on HTN (HR, 0.44; 95% CI, 0.27-0.73, P = 0.002) and HC (HR, 0.62; 95% CI, 0.40-0.95, P = 0.03). </w:t>
      </w:r>
    </w:p>
    <w:p w14:paraId="468C9012"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Limitations, reasons for caution: </w:t>
      </w:r>
      <w:r w:rsidRPr="00D15295">
        <w:rPr>
          <w:rFonts w:ascii="TimesNewRomanPSMT" w:eastAsia="Times New Roman" w:hAnsi="TimesNewRomanPSMT" w:cs="Times New Roman"/>
          <w:color w:val="1E1E1E"/>
          <w:lang w:eastAsia="en-GB"/>
        </w:rPr>
        <w:t xml:space="preserve">Data on specific endometriosis lesion locations or disease stage, as well as on PCOS phenotypes were lacking. In addition, data on systemic medical treatments beyond the use of oral contraceptives were missing, and these treatments may have confounded the results. </w:t>
      </w:r>
    </w:p>
    <w:p w14:paraId="197FCF9B"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lastRenderedPageBreak/>
        <w:t xml:space="preserve">Wider implications of the findings: </w:t>
      </w:r>
      <w:r w:rsidRPr="00D15295">
        <w:rPr>
          <w:rFonts w:ascii="TimesNewRomanPSMT" w:eastAsia="Times New Roman" w:hAnsi="TimesNewRomanPSMT" w:cs="Times New Roman"/>
          <w:color w:val="1E1E1E"/>
          <w:lang w:eastAsia="en-GB"/>
        </w:rPr>
        <w:t xml:space="preserve">These findings implicate systemic dysregulation of the insulin-like growth factor-1 axis in the development of HTN, HC and clinical CVD in endometriosis and PCOS, suggesting a common underlying pathogenetic mechanism. </w:t>
      </w:r>
    </w:p>
    <w:p w14:paraId="574C2CFF"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Study funding/competing interest(s): </w:t>
      </w:r>
      <w:r w:rsidRPr="00D15295">
        <w:rPr>
          <w:rFonts w:ascii="TimesNewRomanPSMT" w:eastAsia="Times New Roman" w:hAnsi="TimesNewRomanPSMT" w:cs="Times New Roman"/>
          <w:color w:val="1E1E1E"/>
          <w:lang w:eastAsia="en-GB"/>
        </w:rPr>
        <w:t xml:space="preserve">The NHS2 infrastructure for questionnaire data collection was supported by National Institute of Health (NIH) grant U01CA176726. This work was also supported in part by NIH and National Cancer Institute grant U24CA210990; as well, research effort and publication costs were supported by the Elizabeth MA Stevens donor funds provided to the Buck Institute for Research on Aging. The authors declare they have no conflicts of interest. </w:t>
      </w:r>
    </w:p>
    <w:p w14:paraId="20671B9D" w14:textId="77777777" w:rsidR="00D15295" w:rsidRPr="00D15295" w:rsidRDefault="00D15295" w:rsidP="00D15295">
      <w:pPr>
        <w:shd w:val="clear" w:color="auto" w:fill="FFFFFF"/>
        <w:spacing w:before="100" w:beforeAutospacing="1" w:after="100" w:afterAutospacing="1"/>
        <w:rPr>
          <w:rFonts w:ascii="Times New Roman" w:eastAsia="Times New Roman" w:hAnsi="Times New Roman" w:cs="Times New Roman"/>
          <w:lang w:eastAsia="en-GB"/>
        </w:rPr>
      </w:pPr>
      <w:r w:rsidRPr="00D15295">
        <w:rPr>
          <w:rFonts w:ascii="TimesNewRomanPS" w:eastAsia="Times New Roman" w:hAnsi="TimesNewRomanPS" w:cs="Times New Roman"/>
          <w:b/>
          <w:bCs/>
          <w:color w:val="1E1E1E"/>
          <w:lang w:eastAsia="en-GB"/>
        </w:rPr>
        <w:t xml:space="preserve">Trial registration number: </w:t>
      </w:r>
      <w:r w:rsidRPr="00D15295">
        <w:rPr>
          <w:rFonts w:ascii="TimesNewRomanPSMT" w:eastAsia="Times New Roman" w:hAnsi="TimesNewRomanPSMT" w:cs="Times New Roman"/>
          <w:color w:val="1E1E1E"/>
          <w:lang w:eastAsia="en-GB"/>
        </w:rPr>
        <w:t xml:space="preserve">N/A. </w:t>
      </w:r>
    </w:p>
    <w:p w14:paraId="2E9B1BDF" w14:textId="61C7FF5C" w:rsidR="00D15295" w:rsidRPr="00D15295" w:rsidRDefault="00D15295" w:rsidP="00D15295">
      <w:pPr>
        <w:rPr>
          <w:rFonts w:ascii="Times New Roman" w:eastAsia="Times New Roman" w:hAnsi="Times New Roman" w:cs="Times New Roman"/>
          <w:lang w:eastAsia="en-GB"/>
        </w:rPr>
      </w:pPr>
      <w:r w:rsidRPr="00D15295">
        <w:rPr>
          <w:rFonts w:ascii="Times New Roman" w:eastAsia="Times New Roman" w:hAnsi="Times New Roman" w:cs="Times New Roman"/>
          <w:lang w:eastAsia="en-GB"/>
        </w:rPr>
        <w:fldChar w:fldCharType="begin"/>
      </w:r>
      <w:r w:rsidRPr="00D15295">
        <w:rPr>
          <w:rFonts w:ascii="Times New Roman" w:eastAsia="Times New Roman" w:hAnsi="Times New Roman" w:cs="Times New Roman"/>
          <w:lang w:eastAsia="en-GB"/>
        </w:rPr>
        <w:instrText xml:space="preserve"> INCLUDEPICTURE "/var/folders/hn/ykymj1vn1fjddmpnnhy362sm0000gn/T/com.microsoft.Word/WebArchiveCopyPasteTempFiles/page44image48702464" \* MERGEFORMATINET </w:instrText>
      </w:r>
      <w:r w:rsidRPr="00D15295">
        <w:rPr>
          <w:rFonts w:ascii="Times New Roman" w:eastAsia="Times New Roman" w:hAnsi="Times New Roman" w:cs="Times New Roman"/>
          <w:lang w:eastAsia="en-GB"/>
        </w:rPr>
        <w:fldChar w:fldCharType="separate"/>
      </w:r>
      <w:r w:rsidRPr="00D15295">
        <w:rPr>
          <w:rFonts w:ascii="Times New Roman" w:eastAsia="Times New Roman" w:hAnsi="Times New Roman" w:cs="Times New Roman"/>
          <w:noProof/>
          <w:lang w:eastAsia="en-GB"/>
        </w:rPr>
        <w:drawing>
          <wp:inline distT="0" distB="0" distL="0" distR="0" wp14:anchorId="4160C66C" wp14:editId="1F88E50E">
            <wp:extent cx="5731510" cy="333375"/>
            <wp:effectExtent l="0" t="0" r="0" b="0"/>
            <wp:docPr id="1" name="Picture 1" descr="page44image48702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44image4870246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33375"/>
                    </a:xfrm>
                    <a:prstGeom prst="rect">
                      <a:avLst/>
                    </a:prstGeom>
                    <a:noFill/>
                    <a:ln>
                      <a:noFill/>
                    </a:ln>
                  </pic:spPr>
                </pic:pic>
              </a:graphicData>
            </a:graphic>
          </wp:inline>
        </w:drawing>
      </w:r>
      <w:r w:rsidRPr="00D15295">
        <w:rPr>
          <w:rFonts w:ascii="Times New Roman" w:eastAsia="Times New Roman" w:hAnsi="Times New Roman" w:cs="Times New Roman"/>
          <w:lang w:eastAsia="en-GB"/>
        </w:rPr>
        <w:fldChar w:fldCharType="end"/>
      </w:r>
    </w:p>
    <w:p w14:paraId="578EC94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295"/>
    <w:rsid w:val="001C7F88"/>
    <w:rsid w:val="00432D50"/>
    <w:rsid w:val="00875F78"/>
    <w:rsid w:val="00A74000"/>
    <w:rsid w:val="00B02158"/>
    <w:rsid w:val="00BE7B39"/>
    <w:rsid w:val="00D10F9D"/>
    <w:rsid w:val="00D15295"/>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4F3F27"/>
  <w15:chartTrackingRefBased/>
  <w15:docId w15:val="{83C0550E-EE59-5845-8573-B98FE38BE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529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775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2634">
          <w:marLeft w:val="0"/>
          <w:marRight w:val="0"/>
          <w:marTop w:val="0"/>
          <w:marBottom w:val="0"/>
          <w:divBdr>
            <w:top w:val="none" w:sz="0" w:space="0" w:color="auto"/>
            <w:left w:val="none" w:sz="0" w:space="0" w:color="auto"/>
            <w:bottom w:val="none" w:sz="0" w:space="0" w:color="auto"/>
            <w:right w:val="none" w:sz="0" w:space="0" w:color="auto"/>
          </w:divBdr>
          <w:divsChild>
            <w:div w:id="1552232181">
              <w:marLeft w:val="0"/>
              <w:marRight w:val="0"/>
              <w:marTop w:val="0"/>
              <w:marBottom w:val="0"/>
              <w:divBdr>
                <w:top w:val="none" w:sz="0" w:space="0" w:color="auto"/>
                <w:left w:val="none" w:sz="0" w:space="0" w:color="auto"/>
                <w:bottom w:val="none" w:sz="0" w:space="0" w:color="auto"/>
                <w:right w:val="none" w:sz="0" w:space="0" w:color="auto"/>
              </w:divBdr>
              <w:divsChild>
                <w:div w:id="1502115784">
                  <w:marLeft w:val="0"/>
                  <w:marRight w:val="0"/>
                  <w:marTop w:val="0"/>
                  <w:marBottom w:val="0"/>
                  <w:divBdr>
                    <w:top w:val="none" w:sz="0" w:space="0" w:color="auto"/>
                    <w:left w:val="none" w:sz="0" w:space="0" w:color="auto"/>
                    <w:bottom w:val="none" w:sz="0" w:space="0" w:color="auto"/>
                    <w:right w:val="none" w:sz="0" w:space="0" w:color="auto"/>
                  </w:divBdr>
                </w:div>
              </w:divsChild>
            </w:div>
            <w:div w:id="698432018">
              <w:marLeft w:val="0"/>
              <w:marRight w:val="0"/>
              <w:marTop w:val="0"/>
              <w:marBottom w:val="0"/>
              <w:divBdr>
                <w:top w:val="none" w:sz="0" w:space="0" w:color="auto"/>
                <w:left w:val="none" w:sz="0" w:space="0" w:color="auto"/>
                <w:bottom w:val="none" w:sz="0" w:space="0" w:color="auto"/>
                <w:right w:val="none" w:sz="0" w:space="0" w:color="auto"/>
              </w:divBdr>
              <w:divsChild>
                <w:div w:id="619146922">
                  <w:marLeft w:val="0"/>
                  <w:marRight w:val="0"/>
                  <w:marTop w:val="0"/>
                  <w:marBottom w:val="0"/>
                  <w:divBdr>
                    <w:top w:val="none" w:sz="0" w:space="0" w:color="auto"/>
                    <w:left w:val="none" w:sz="0" w:space="0" w:color="auto"/>
                    <w:bottom w:val="none" w:sz="0" w:space="0" w:color="auto"/>
                    <w:right w:val="none" w:sz="0" w:space="0" w:color="auto"/>
                  </w:divBdr>
                  <w:divsChild>
                    <w:div w:id="213929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136194">
          <w:marLeft w:val="0"/>
          <w:marRight w:val="0"/>
          <w:marTop w:val="0"/>
          <w:marBottom w:val="0"/>
          <w:divBdr>
            <w:top w:val="none" w:sz="0" w:space="0" w:color="auto"/>
            <w:left w:val="none" w:sz="0" w:space="0" w:color="auto"/>
            <w:bottom w:val="none" w:sz="0" w:space="0" w:color="auto"/>
            <w:right w:val="none" w:sz="0" w:space="0" w:color="auto"/>
          </w:divBdr>
          <w:divsChild>
            <w:div w:id="1959675813">
              <w:marLeft w:val="0"/>
              <w:marRight w:val="0"/>
              <w:marTop w:val="0"/>
              <w:marBottom w:val="0"/>
              <w:divBdr>
                <w:top w:val="none" w:sz="0" w:space="0" w:color="auto"/>
                <w:left w:val="none" w:sz="0" w:space="0" w:color="auto"/>
                <w:bottom w:val="none" w:sz="0" w:space="0" w:color="auto"/>
                <w:right w:val="none" w:sz="0" w:space="0" w:color="auto"/>
              </w:divBdr>
              <w:divsChild>
                <w:div w:id="1893274725">
                  <w:marLeft w:val="0"/>
                  <w:marRight w:val="0"/>
                  <w:marTop w:val="0"/>
                  <w:marBottom w:val="0"/>
                  <w:divBdr>
                    <w:top w:val="none" w:sz="0" w:space="0" w:color="auto"/>
                    <w:left w:val="none" w:sz="0" w:space="0" w:color="auto"/>
                    <w:bottom w:val="none" w:sz="0" w:space="0" w:color="auto"/>
                    <w:right w:val="none" w:sz="0" w:space="0" w:color="auto"/>
                  </w:divBdr>
                  <w:divsChild>
                    <w:div w:id="764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169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2022-07-30T18:54:00Z</dcterms:created>
  <dcterms:modified xsi:type="dcterms:W3CDTF">2022-07-30T18:55:00Z</dcterms:modified>
</cp:coreProperties>
</file>