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F9604" w14:textId="77777777" w:rsidR="00643C88" w:rsidRDefault="00643C88" w:rsidP="00643C88">
      <w:pPr>
        <w:pStyle w:val="NormalWeb"/>
      </w:pPr>
      <w:r>
        <w:rPr>
          <w:rFonts w:ascii="TimesNewRomanPSMT" w:hAnsi="TimesNewRomanPSMT"/>
        </w:rPr>
        <w:t xml:space="preserve">69) </w:t>
      </w:r>
      <w:r>
        <w:rPr>
          <w:rFonts w:ascii="TimesNewRomanPSMT" w:hAnsi="TimesNewRomanPSMT"/>
          <w:color w:val="0070BA"/>
        </w:rPr>
        <w:t xml:space="preserve">Cumulative Recurrence Rate and Risk Factors for Recurrent Abdominal Wall </w:t>
      </w:r>
      <w:r>
        <w:rPr>
          <w:rFonts w:ascii="TimesNewRomanPS" w:hAnsi="TimesNewRomanPS"/>
          <w:b/>
          <w:bCs/>
          <w:color w:val="0070BA"/>
        </w:rPr>
        <w:t xml:space="preserve">Endometriosis </w:t>
      </w:r>
      <w:r>
        <w:rPr>
          <w:rFonts w:ascii="TimesNewRomanPSMT" w:hAnsi="TimesNewRomanPSMT"/>
          <w:color w:val="0070BA"/>
        </w:rPr>
        <w:t xml:space="preserve">after Surgical Treatment in a Single Institution. </w:t>
      </w:r>
    </w:p>
    <w:p w14:paraId="6E4B0093" w14:textId="77777777" w:rsidR="00643C88" w:rsidRDefault="00643C88" w:rsidP="00643C88">
      <w:pPr>
        <w:pStyle w:val="NormalWeb"/>
      </w:pPr>
      <w:r>
        <w:rPr>
          <w:rFonts w:ascii="TimesNewRomanPSMT" w:hAnsi="TimesNewRomanPSMT"/>
          <w:color w:val="1E1E1E"/>
        </w:rPr>
        <w:t xml:space="preserve">Kim SJ, Choi SH, Won S, Shim S, Lee N, Kim M, Kim MK, </w:t>
      </w:r>
      <w:proofErr w:type="spellStart"/>
      <w:r>
        <w:rPr>
          <w:rFonts w:ascii="TimesNewRomanPSMT" w:hAnsi="TimesNewRomanPSMT"/>
          <w:color w:val="1E1E1E"/>
        </w:rPr>
        <w:t>Seong</w:t>
      </w:r>
      <w:proofErr w:type="spellEnd"/>
      <w:r>
        <w:rPr>
          <w:rFonts w:ascii="TimesNewRomanPSMT" w:hAnsi="TimesNewRomanPSMT"/>
          <w:color w:val="1E1E1E"/>
        </w:rPr>
        <w:t xml:space="preserve"> SJ, Kim </w:t>
      </w:r>
      <w:proofErr w:type="spellStart"/>
      <w:proofErr w:type="gramStart"/>
      <w:r>
        <w:rPr>
          <w:rFonts w:ascii="TimesNewRomanPSMT" w:hAnsi="TimesNewRomanPSMT"/>
          <w:color w:val="1E1E1E"/>
        </w:rPr>
        <w:t>ML.</w:t>
      </w:r>
      <w:r>
        <w:rPr>
          <w:rFonts w:ascii="TimesNewRomanPSMT" w:hAnsi="TimesNewRomanPSMT"/>
          <w:color w:val="4C7F54"/>
        </w:rPr>
        <w:t>Yonsei</w:t>
      </w:r>
      <w:proofErr w:type="spellEnd"/>
      <w:proofErr w:type="gramEnd"/>
      <w:r>
        <w:rPr>
          <w:rFonts w:ascii="TimesNewRomanPSMT" w:hAnsi="TimesNewRomanPSMT"/>
          <w:color w:val="4C7F54"/>
        </w:rPr>
        <w:t xml:space="preserve"> Med J. 2022 May;63(5):446-451. </w:t>
      </w:r>
      <w:proofErr w:type="spellStart"/>
      <w:r>
        <w:rPr>
          <w:rFonts w:ascii="TimesNewRomanPSMT" w:hAnsi="TimesNewRomanPSMT"/>
          <w:color w:val="4C7F54"/>
        </w:rPr>
        <w:t>doi</w:t>
      </w:r>
      <w:proofErr w:type="spellEnd"/>
      <w:r>
        <w:rPr>
          <w:rFonts w:ascii="TimesNewRomanPSMT" w:hAnsi="TimesNewRomanPSMT"/>
          <w:color w:val="4C7F54"/>
        </w:rPr>
        <w:t xml:space="preserve">: 10.3349/ymj.2022.63.5.446.PMID: 35512747 </w:t>
      </w:r>
      <w:r>
        <w:rPr>
          <w:rFonts w:ascii="TimesNewRomanPS" w:hAnsi="TimesNewRomanPS"/>
          <w:b/>
          <w:bCs/>
          <w:color w:val="BF5400"/>
        </w:rPr>
        <w:t xml:space="preserve">Free PMC article. </w:t>
      </w:r>
    </w:p>
    <w:p w14:paraId="4E62019C" w14:textId="77777777" w:rsidR="00643C88" w:rsidRDefault="00643C88" w:rsidP="00643C88">
      <w:pPr>
        <w:pStyle w:val="NormalWeb"/>
        <w:shd w:val="clear" w:color="auto" w:fill="FFFFFF"/>
      </w:pPr>
      <w:r>
        <w:rPr>
          <w:rFonts w:ascii="TimesNewRomanPS" w:hAnsi="TimesNewRomanPS"/>
          <w:b/>
          <w:bCs/>
          <w:color w:val="1E1E1E"/>
        </w:rPr>
        <w:t>Abstract</w:t>
      </w:r>
      <w:r>
        <w:rPr>
          <w:rFonts w:ascii="TimesNewRomanPS" w:hAnsi="TimesNewRomanPS"/>
          <w:b/>
          <w:bCs/>
          <w:color w:val="1E1E1E"/>
        </w:rPr>
        <w:br/>
        <w:t xml:space="preserve">Purpose: </w:t>
      </w:r>
      <w:r>
        <w:rPr>
          <w:rFonts w:ascii="TimesNewRomanPSMT" w:hAnsi="TimesNewRomanPSMT"/>
          <w:color w:val="1E1E1E"/>
        </w:rPr>
        <w:t xml:space="preserve">This study aimed to evaluate the cumulative recurrence rate and risk factors for </w:t>
      </w:r>
    </w:p>
    <w:p w14:paraId="20E4A167" w14:textId="77777777" w:rsidR="00643C88" w:rsidRDefault="00643C88" w:rsidP="00643C88">
      <w:pPr>
        <w:pStyle w:val="NormalWeb"/>
        <w:shd w:val="clear" w:color="auto" w:fill="FFFFFF"/>
      </w:pPr>
      <w:r>
        <w:rPr>
          <w:rFonts w:ascii="TimesNewRomanPSMT" w:hAnsi="TimesNewRomanPSMT"/>
          <w:color w:val="1E1E1E"/>
        </w:rPr>
        <w:t xml:space="preserve">recurrent abdominal wall endometriosis (AWE) after surgical treatment. </w:t>
      </w:r>
    </w:p>
    <w:p w14:paraId="7E10BD30" w14:textId="77777777" w:rsidR="00643C88" w:rsidRDefault="00643C88" w:rsidP="00643C88">
      <w:pPr>
        <w:pStyle w:val="NormalWeb"/>
        <w:shd w:val="clear" w:color="auto" w:fill="FFFFFF"/>
      </w:pPr>
      <w:r>
        <w:rPr>
          <w:rFonts w:ascii="TimesNewRomanPS" w:hAnsi="TimesNewRomanPS"/>
          <w:b/>
          <w:bCs/>
          <w:color w:val="1E1E1E"/>
        </w:rPr>
        <w:t xml:space="preserve">Materials and methods: </w:t>
      </w:r>
      <w:r>
        <w:rPr>
          <w:rFonts w:ascii="TimesNewRomanPSMT" w:hAnsi="TimesNewRomanPSMT"/>
          <w:color w:val="1E1E1E"/>
        </w:rPr>
        <w:t xml:space="preserve">A retrospective cohort study was conducted at a single </w:t>
      </w:r>
      <w:proofErr w:type="spellStart"/>
      <w:r>
        <w:rPr>
          <w:rFonts w:ascii="TimesNewRomanPSMT" w:hAnsi="TimesNewRomanPSMT"/>
          <w:color w:val="1E1E1E"/>
        </w:rPr>
        <w:t>gynecological</w:t>
      </w:r>
      <w:proofErr w:type="spellEnd"/>
      <w:r>
        <w:rPr>
          <w:rFonts w:ascii="TimesNewRomanPSMT" w:hAnsi="TimesNewRomanPSMT"/>
          <w:color w:val="1E1E1E"/>
        </w:rPr>
        <w:t xml:space="preserve"> surgery </w:t>
      </w:r>
      <w:proofErr w:type="spellStart"/>
      <w:r>
        <w:rPr>
          <w:rFonts w:ascii="TimesNewRomanPSMT" w:hAnsi="TimesNewRomanPSMT"/>
          <w:color w:val="1E1E1E"/>
        </w:rPr>
        <w:t>center</w:t>
      </w:r>
      <w:proofErr w:type="spellEnd"/>
      <w:r>
        <w:rPr>
          <w:rFonts w:ascii="TimesNewRomanPSMT" w:hAnsi="TimesNewRomanPSMT"/>
          <w:color w:val="1E1E1E"/>
        </w:rPr>
        <w:t xml:space="preserve"> between January 2004 and December 2020. Patients who were surgically treated and followed up for at least 6 months after surgery were selected. </w:t>
      </w:r>
    </w:p>
    <w:p w14:paraId="6336D34C" w14:textId="77777777" w:rsidR="00643C88" w:rsidRDefault="00643C88" w:rsidP="00643C88">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 xml:space="preserve">Eighteen patients with pathologically diagnosed AWE were included in this study. The median follow-up duration was 22.5 months (range, 6-106). The median age was 37 years (range, 22-48), and 33.3% of the patients were nulliparous. Among the patients included in our study, 55.6% complained of a mass with cyclic pain, and 27.8% had a palpable mass. In addition, 22.2% of patients experienced recurrence with 17.5±9.7 months of mean time to recurrence. The cumulative recurrence rates at 24 and 60 months after surgical treatment of AWE were 23.8% and 39.1%, respectively. There were no statistically significant risk factors for the recurrence of AWE, including postoperative medical treatment. </w:t>
      </w:r>
    </w:p>
    <w:p w14:paraId="4954E400" w14:textId="77777777" w:rsidR="00643C88" w:rsidRDefault="00643C88" w:rsidP="00643C88">
      <w:pPr>
        <w:pStyle w:val="NormalWeb"/>
        <w:shd w:val="clear" w:color="auto" w:fill="FFFFFF"/>
      </w:pPr>
      <w:r>
        <w:rPr>
          <w:rFonts w:ascii="TimesNewRomanPS" w:hAnsi="TimesNewRomanPS"/>
          <w:b/>
          <w:bCs/>
          <w:color w:val="1E1E1E"/>
        </w:rPr>
        <w:t xml:space="preserve">Conclusion: </w:t>
      </w:r>
      <w:r>
        <w:rPr>
          <w:rFonts w:ascii="TimesNewRomanPSMT" w:hAnsi="TimesNewRomanPSMT"/>
          <w:color w:val="1E1E1E"/>
        </w:rPr>
        <w:t xml:space="preserve">The recurrence rate of AWE appears to be correlated with the follow-up duration. There was no statistically significant risk factor for the recurrence of AWE. Unlike ovarian endometriosis, postoperative hormonal treatment does not seem to lower the recurrence of AWE. The findings of the current study may help healthcare providers in counselling and managing patients with AWE. </w:t>
      </w:r>
    </w:p>
    <w:p w14:paraId="58BBA239" w14:textId="77777777" w:rsidR="00643C88" w:rsidRDefault="00643C88" w:rsidP="00643C88">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Abdominal wall endometriosis; postoperative hormonal treatment; recurrence; risk factor. </w:t>
      </w:r>
    </w:p>
    <w:p w14:paraId="6B511631"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C88"/>
    <w:rsid w:val="001C7F88"/>
    <w:rsid w:val="00432D50"/>
    <w:rsid w:val="00643C88"/>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F44034C"/>
  <w15:chartTrackingRefBased/>
  <w15:docId w15:val="{11612B2B-3B95-E441-863E-1A32AACC4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43C88"/>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0458937">
      <w:bodyDiv w:val="1"/>
      <w:marLeft w:val="0"/>
      <w:marRight w:val="0"/>
      <w:marTop w:val="0"/>
      <w:marBottom w:val="0"/>
      <w:divBdr>
        <w:top w:val="none" w:sz="0" w:space="0" w:color="auto"/>
        <w:left w:val="none" w:sz="0" w:space="0" w:color="auto"/>
        <w:bottom w:val="none" w:sz="0" w:space="0" w:color="auto"/>
        <w:right w:val="none" w:sz="0" w:space="0" w:color="auto"/>
      </w:divBdr>
      <w:divsChild>
        <w:div w:id="572354095">
          <w:marLeft w:val="0"/>
          <w:marRight w:val="0"/>
          <w:marTop w:val="0"/>
          <w:marBottom w:val="0"/>
          <w:divBdr>
            <w:top w:val="none" w:sz="0" w:space="0" w:color="auto"/>
            <w:left w:val="none" w:sz="0" w:space="0" w:color="auto"/>
            <w:bottom w:val="none" w:sz="0" w:space="0" w:color="auto"/>
            <w:right w:val="none" w:sz="0" w:space="0" w:color="auto"/>
          </w:divBdr>
          <w:divsChild>
            <w:div w:id="1555043899">
              <w:marLeft w:val="0"/>
              <w:marRight w:val="0"/>
              <w:marTop w:val="0"/>
              <w:marBottom w:val="0"/>
              <w:divBdr>
                <w:top w:val="none" w:sz="0" w:space="0" w:color="auto"/>
                <w:left w:val="none" w:sz="0" w:space="0" w:color="auto"/>
                <w:bottom w:val="none" w:sz="0" w:space="0" w:color="auto"/>
                <w:right w:val="none" w:sz="0" w:space="0" w:color="auto"/>
              </w:divBdr>
              <w:divsChild>
                <w:div w:id="1030187568">
                  <w:marLeft w:val="0"/>
                  <w:marRight w:val="0"/>
                  <w:marTop w:val="0"/>
                  <w:marBottom w:val="0"/>
                  <w:divBdr>
                    <w:top w:val="none" w:sz="0" w:space="0" w:color="auto"/>
                    <w:left w:val="none" w:sz="0" w:space="0" w:color="auto"/>
                    <w:bottom w:val="none" w:sz="0" w:space="0" w:color="auto"/>
                    <w:right w:val="none" w:sz="0" w:space="0" w:color="auto"/>
                  </w:divBdr>
                </w:div>
              </w:divsChild>
            </w:div>
            <w:div w:id="545024639">
              <w:marLeft w:val="0"/>
              <w:marRight w:val="0"/>
              <w:marTop w:val="0"/>
              <w:marBottom w:val="0"/>
              <w:divBdr>
                <w:top w:val="none" w:sz="0" w:space="0" w:color="auto"/>
                <w:left w:val="none" w:sz="0" w:space="0" w:color="auto"/>
                <w:bottom w:val="none" w:sz="0" w:space="0" w:color="auto"/>
                <w:right w:val="none" w:sz="0" w:space="0" w:color="auto"/>
              </w:divBdr>
              <w:divsChild>
                <w:div w:id="1240941807">
                  <w:marLeft w:val="0"/>
                  <w:marRight w:val="0"/>
                  <w:marTop w:val="0"/>
                  <w:marBottom w:val="0"/>
                  <w:divBdr>
                    <w:top w:val="none" w:sz="0" w:space="0" w:color="auto"/>
                    <w:left w:val="none" w:sz="0" w:space="0" w:color="auto"/>
                    <w:bottom w:val="none" w:sz="0" w:space="0" w:color="auto"/>
                    <w:right w:val="none" w:sz="0" w:space="0" w:color="auto"/>
                  </w:divBdr>
                  <w:divsChild>
                    <w:div w:id="1963992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4550741">
          <w:marLeft w:val="0"/>
          <w:marRight w:val="0"/>
          <w:marTop w:val="0"/>
          <w:marBottom w:val="0"/>
          <w:divBdr>
            <w:top w:val="none" w:sz="0" w:space="0" w:color="auto"/>
            <w:left w:val="none" w:sz="0" w:space="0" w:color="auto"/>
            <w:bottom w:val="none" w:sz="0" w:space="0" w:color="auto"/>
            <w:right w:val="none" w:sz="0" w:space="0" w:color="auto"/>
          </w:divBdr>
          <w:divsChild>
            <w:div w:id="598684592">
              <w:marLeft w:val="0"/>
              <w:marRight w:val="0"/>
              <w:marTop w:val="0"/>
              <w:marBottom w:val="0"/>
              <w:divBdr>
                <w:top w:val="none" w:sz="0" w:space="0" w:color="auto"/>
                <w:left w:val="none" w:sz="0" w:space="0" w:color="auto"/>
                <w:bottom w:val="none" w:sz="0" w:space="0" w:color="auto"/>
                <w:right w:val="none" w:sz="0" w:space="0" w:color="auto"/>
              </w:divBdr>
              <w:divsChild>
                <w:div w:id="47074727">
                  <w:marLeft w:val="0"/>
                  <w:marRight w:val="0"/>
                  <w:marTop w:val="0"/>
                  <w:marBottom w:val="0"/>
                  <w:divBdr>
                    <w:top w:val="none" w:sz="0" w:space="0" w:color="auto"/>
                    <w:left w:val="none" w:sz="0" w:space="0" w:color="auto"/>
                    <w:bottom w:val="none" w:sz="0" w:space="0" w:color="auto"/>
                    <w:right w:val="none" w:sz="0" w:space="0" w:color="auto"/>
                  </w:divBdr>
                  <w:divsChild>
                    <w:div w:id="47483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289</Words>
  <Characters>1649</Characters>
  <Application>Microsoft Office Word</Application>
  <DocSecurity>0</DocSecurity>
  <Lines>13</Lines>
  <Paragraphs>3</Paragraphs>
  <ScaleCrop>false</ScaleCrop>
  <Company/>
  <LinksUpToDate>false</LinksUpToDate>
  <CharactersWithSpaces>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2022-07-30T18:56:00Z</dcterms:created>
  <dcterms:modified xsi:type="dcterms:W3CDTF">2022-07-30T18:56:00Z</dcterms:modified>
</cp:coreProperties>
</file>