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977E2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 xml:space="preserve">6. Persistent Pelvic Pain in Patients </w:t>
      </w:r>
      <w:proofErr w:type="gramStart"/>
      <w:r>
        <w:rPr>
          <w:rFonts w:ascii="Times New Roman" w:hAnsi="Times New Roman" w:cs="Times New Roman"/>
          <w:color w:val="FF0000"/>
          <w:lang w:val="en-US"/>
        </w:rPr>
        <w:t>With</w:t>
      </w:r>
      <w:proofErr w:type="gramEnd"/>
      <w:r>
        <w:rPr>
          <w:rFonts w:ascii="Times New Roman" w:hAnsi="Times New Roman" w:cs="Times New Roman"/>
          <w:color w:val="FF0000"/>
          <w:lang w:val="en-US"/>
        </w:rPr>
        <w:t xml:space="preserve"> Endometriosis</w:t>
      </w:r>
    </w:p>
    <w:p w14:paraId="2D98EE39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Isabel C Green,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Tatnai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Burnett, Abimbola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Famuyide</w:t>
      </w:r>
      <w:proofErr w:type="spellEnd"/>
    </w:p>
    <w:p w14:paraId="5EF7C15E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Clin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Obstet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Gynecol. 2022 Apr 15.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doi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: 10.1097/GRF.0000000000000712. Online ahead of</w:t>
      </w:r>
    </w:p>
    <w:p w14:paraId="61C229FC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print.</w:t>
      </w:r>
    </w:p>
    <w:p w14:paraId="70D18588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0FC9C35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As our understanding of chronic pain conditions, including endometriosis-related pain and</w:t>
      </w:r>
    </w:p>
    <w:p w14:paraId="66016303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chronic pelvic pain evolves, the evaluation and management of patients should reflect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our</w:t>
      </w:r>
      <w:proofErr w:type="gramEnd"/>
    </w:p>
    <w:p w14:paraId="5E40480C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increasing appreciation of the role of central sensitization, comorbid conditions and</w:t>
      </w:r>
    </w:p>
    <w:p w14:paraId="6318EC05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biopsychosocial factors on the pain experience and treatment outcomes. This review provides</w:t>
      </w:r>
    </w:p>
    <w:p w14:paraId="4E2358BA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 systematic approach to persistent pain in patients with endometriosis. Expanding the</w:t>
      </w:r>
    </w:p>
    <w:p w14:paraId="3D0FBA67" w14:textId="77777777" w:rsidR="00322CCC" w:rsidRDefault="00322CCC" w:rsidP="00322CCC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evaluation and treatment of endometriosis-related pain by all health care providers could limit</w:t>
      </w:r>
    </w:p>
    <w:p w14:paraId="0E19C115" w14:textId="1F6ECB4D" w:rsidR="00852BED" w:rsidRPr="00322CCC" w:rsidRDefault="00322CCC" w:rsidP="00322CCC">
      <w:r>
        <w:rPr>
          <w:rFonts w:ascii="Times New Roman" w:hAnsi="Times New Roman" w:cs="Times New Roman"/>
          <w:color w:val="212121"/>
          <w:lang w:val="en-US"/>
        </w:rPr>
        <w:t>unnecessary surgical interventions and best meet our patient's needs.</w:t>
      </w:r>
    </w:p>
    <w:sectPr w:rsidR="00852BED" w:rsidRPr="00322C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22CCC"/>
    <w:rsid w:val="00364F02"/>
    <w:rsid w:val="00403844"/>
    <w:rsid w:val="004E7A6A"/>
    <w:rsid w:val="00523748"/>
    <w:rsid w:val="005B3F57"/>
    <w:rsid w:val="005E1977"/>
    <w:rsid w:val="00627A86"/>
    <w:rsid w:val="006419FC"/>
    <w:rsid w:val="00772B32"/>
    <w:rsid w:val="00797B77"/>
    <w:rsid w:val="007A061C"/>
    <w:rsid w:val="007F31DC"/>
    <w:rsid w:val="00852BED"/>
    <w:rsid w:val="009F33F4"/>
    <w:rsid w:val="00A16744"/>
    <w:rsid w:val="00A24CDF"/>
    <w:rsid w:val="00A555FD"/>
    <w:rsid w:val="00A80B37"/>
    <w:rsid w:val="00AB76A6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2022-05-11T09:16:00Z</dcterms:created>
  <dcterms:modified xsi:type="dcterms:W3CDTF">2022-05-11T09:16:00Z</dcterms:modified>
</cp:coreProperties>
</file>