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8B512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8. A Systematic Review of Atypical Endometriosis-Associated Biomarkers</w:t>
      </w:r>
    </w:p>
    <w:p w14:paraId="43474270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Ludovica Bartiromo, Matteo Schimberni, Roberta Villanacci, Giorgia Mangili, Stefano</w:t>
      </w:r>
    </w:p>
    <w:p w14:paraId="1FCCA6CB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Ferrari, Jessica Ottolina, Noemi Salmeri, Carolina Dolci, Iacopo Tandoi, Massimo</w:t>
      </w:r>
    </w:p>
    <w:p w14:paraId="09278700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Candiani</w:t>
      </w:r>
    </w:p>
    <w:p w14:paraId="4C72C8E4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Int J Mol Sci. 2022 Apr 17;23(8):4425.doi: 10.3390/ijms23084425.</w:t>
      </w:r>
    </w:p>
    <w:p w14:paraId="6A91AE03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71CDAB76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Ovarian endometriosis may increase the risk of malignancy. Several studies have suggested</w:t>
      </w:r>
    </w:p>
    <w:p w14:paraId="7A37D02A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atypical endometriosis as the direct precursor of endometriosis-associated ovarian cancer. We</w:t>
      </w:r>
    </w:p>
    <w:p w14:paraId="4A39D6AA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performed an advanced, systematic search of the online medical databases PubMed and</w:t>
      </w:r>
    </w:p>
    <w:p w14:paraId="27ED17E5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Medline. The search revealed n = 40 studies eligible for inclusion in this systematic review.</w:t>
      </w:r>
    </w:p>
    <w:p w14:paraId="4DBA6164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these, n = 39 were finally included. The results from included studies are characterized by</w:t>
      </w:r>
    </w:p>
    <w:p w14:paraId="023711D3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high heterogeneity, but some consistency has been found for altered expression in</w:t>
      </w:r>
    </w:p>
    <w:p w14:paraId="15B36CA0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phosphoinositide 3-kinase (PI3K)/AKT/mTOR pathway, ARID1a, estrogen and progesterone</w:t>
      </w:r>
    </w:p>
    <w:p w14:paraId="1F5AE69C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receptors, transcriptional, nuclear, and growth factors in atypical endometriosis. Although</w:t>
      </w:r>
    </w:p>
    <w:p w14:paraId="7D4DA6CA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many targets have been proposed as biomarkers for the presence of atypical endometriosis,</w:t>
      </w:r>
    </w:p>
    <w:p w14:paraId="27049576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none of them has such strong evidence to justify their systematic use in clinical practice, and</w:t>
      </w:r>
    </w:p>
    <w:p w14:paraId="75E68FEE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they all need expensive molecular analyses. Further well-designed studies are needed to</w:t>
      </w:r>
    </w:p>
    <w:p w14:paraId="292C82EA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validate the evidence on available biomarkers and to investigate novel serum markers for</w:t>
      </w:r>
    </w:p>
    <w:p w14:paraId="2BA722C0" w14:textId="77777777" w:rsidR="00567A4D" w:rsidRDefault="00567A4D" w:rsidP="00567A4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atypical endometriosis.</w:t>
      </w:r>
    </w:p>
    <w:p w14:paraId="0E19C115" w14:textId="45ECEE20" w:rsidR="00852BED" w:rsidRPr="00567A4D" w:rsidRDefault="00567A4D" w:rsidP="00567A4D">
      <w:r>
        <w:rPr>
          <w:rFonts w:ascii="Times New Roman" w:hAnsi="Times New Roman" w:cs="Times New Roman"/>
          <w:color w:val="212121"/>
          <w:lang w:val="en-US"/>
        </w:rPr>
        <w:t>Keywords: atypia; atypical; atypical endometriosis; biomarker; endometriosis; marker.</w:t>
      </w:r>
    </w:p>
    <w:sectPr w:rsidR="00852BED" w:rsidRPr="00567A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5008"/>
    <w:rsid w:val="001B64BD"/>
    <w:rsid w:val="00217FAF"/>
    <w:rsid w:val="00322CCC"/>
    <w:rsid w:val="00364F02"/>
    <w:rsid w:val="00403844"/>
    <w:rsid w:val="004E7A6A"/>
    <w:rsid w:val="00523748"/>
    <w:rsid w:val="00567A4D"/>
    <w:rsid w:val="005B3F57"/>
    <w:rsid w:val="005E1977"/>
    <w:rsid w:val="00627A86"/>
    <w:rsid w:val="006419FC"/>
    <w:rsid w:val="00772B32"/>
    <w:rsid w:val="00797B77"/>
    <w:rsid w:val="007A061C"/>
    <w:rsid w:val="007F31DC"/>
    <w:rsid w:val="00852BED"/>
    <w:rsid w:val="009F33F4"/>
    <w:rsid w:val="00A16744"/>
    <w:rsid w:val="00A24CDF"/>
    <w:rsid w:val="00A555FD"/>
    <w:rsid w:val="00A80B37"/>
    <w:rsid w:val="00AB76A6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D3612"/>
    <w:rsid w:val="00DE1BD4"/>
    <w:rsid w:val="00E22451"/>
    <w:rsid w:val="00E661C7"/>
    <w:rsid w:val="00E909F4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2022-05-11T09:17:00Z</dcterms:created>
  <dcterms:modified xsi:type="dcterms:W3CDTF">2022-05-11T09:17:00Z</dcterms:modified>
</cp:coreProperties>
</file>