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D8426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15. Urinary Biomarkers for Detection of Clinical Endometriosis or Adenomyosis</w:t>
      </w:r>
    </w:p>
    <w:p w14:paraId="6B736BC9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Wei-Chun Chen, Chao-Min Cheng, Wan-Ting Liao, Ting-Chang Chang</w:t>
      </w:r>
    </w:p>
    <w:p w14:paraId="45FAF0E2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Biomedicines. 2022 Apr 1;10(4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):833.doi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10.3390/biomedicines10040833.</w:t>
      </w:r>
    </w:p>
    <w:p w14:paraId="46F7F979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22A7BF6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or adenomyosis can be clinically diagnosed by ultrasound, symptoms, physical</w:t>
      </w:r>
    </w:p>
    <w:p w14:paraId="22E26084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examination, and serum CA125. The urinary markers need to be investigated. The aim of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our</w:t>
      </w:r>
      <w:proofErr w:type="gramEnd"/>
    </w:p>
    <w:p w14:paraId="619D5AC1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was to investigate the urinary markers of clinical endometriosis/adenomyosis, and the</w:t>
      </w:r>
    </w:p>
    <w:p w14:paraId="6CAF7DCB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correlation of serum CA125 was also studied. From the literature, alpha-1 antitrypsin</w:t>
      </w:r>
    </w:p>
    <w:p w14:paraId="2379D33A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(A1AT), enolase-1, vitamin D binding protein (VDBP), and CA125 in urine and serum were</w:t>
      </w:r>
    </w:p>
    <w:p w14:paraId="13A922ED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used in our study and measured by enzyme-linked immunosorbent assays (ELISA). Further</w:t>
      </w:r>
    </w:p>
    <w:p w14:paraId="5AADA32E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clinical correlation and detection performance were evaluated. We enrolled 19 normal</w:t>
      </w:r>
    </w:p>
    <w:p w14:paraId="525A07AF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controls and 33 patients clinically diagnosed with endometriosis/adenomyosis. There were</w:t>
      </w:r>
    </w:p>
    <w:p w14:paraId="62E59499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 differences between studied patients and normal controls, as follows: serum</w:t>
      </w:r>
    </w:p>
    <w:p w14:paraId="1C828B20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CA125 (130.91 vs. 19.75 U/mL, p = 0.004); urinary CA125-creatinine ratio (5.591 vs. 0.254</w:t>
      </w:r>
    </w:p>
    <w:p w14:paraId="5720006C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ng/mg, p = 0.028); and urinary VDBP-creatinine ratio (28.028 vs. 7.301 ng/mg, p = 0.018).</w:t>
      </w:r>
    </w:p>
    <w:p w14:paraId="01BD191D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For diagnostic performances, serum CA125 provided the best results, with an area under</w:t>
      </w:r>
    </w:p>
    <w:p w14:paraId="4E7913E6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curve (AUC) of 0.888 (p = 0.001) and accuracy of 86.5%. Other excellent results were also</w:t>
      </w:r>
    </w:p>
    <w:p w14:paraId="15FD3866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found using urinary VDBP (AUC 0.841, p = 0.001) and A1AT (AUC 0.722, p = 0.011)</w:t>
      </w:r>
    </w:p>
    <w:p w14:paraId="2E69635E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creatinine ratio. Using three combined biomarkers, serum CA125, urinary VDBP, and A1AT</w:t>
      </w:r>
    </w:p>
    <w:p w14:paraId="1C15DD79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creatinine ratio, provided good detection power (AUC 0.913, p = 0.001, sensitivity 90.9%,</w:t>
      </w:r>
    </w:p>
    <w:p w14:paraId="0DDE3A03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specificity 76.5%). Double urine markers used in combination with VDBP and A1AT</w:t>
      </w:r>
    </w:p>
    <w:p w14:paraId="21642A68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creatinine ratio also provided good diagnostic performance (AUC 0.809, p = 0.001,</w:t>
      </w:r>
    </w:p>
    <w:p w14:paraId="1ABB9CCB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sensitivity 81.8%, specificity 76.5%, accuracy 80%). Further development of non-invasive</w:t>
      </w:r>
    </w:p>
    <w:p w14:paraId="2A7AD663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point-of-care tests using these biomarkers could be a fruitful future endeavor.</w:t>
      </w:r>
    </w:p>
    <w:p w14:paraId="457F681C" w14:textId="77777777" w:rsidR="00AD2674" w:rsidRDefault="00AD2674" w:rsidP="00AD267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A1AT; CA125; VDBP; alpha-1 antitrypsin; endometriosis; urinary biomarkers;</w:t>
      </w:r>
    </w:p>
    <w:p w14:paraId="0E19C115" w14:textId="43C9D356" w:rsidR="00852BED" w:rsidRPr="00AD2674" w:rsidRDefault="00AD2674" w:rsidP="00AD2674">
      <w:r>
        <w:rPr>
          <w:rFonts w:ascii="Times New Roman" w:hAnsi="Times New Roman" w:cs="Times New Roman"/>
          <w:color w:val="212121"/>
          <w:lang w:val="en-US"/>
        </w:rPr>
        <w:t>vitamin D-binding protein.</w:t>
      </w:r>
    </w:p>
    <w:sectPr w:rsidR="00852BED" w:rsidRPr="00AD26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2022-05-11T09:19:00Z</dcterms:created>
  <dcterms:modified xsi:type="dcterms:W3CDTF">2022-05-11T09:19:00Z</dcterms:modified>
</cp:coreProperties>
</file>