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34365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17. Body mass index and the diagnosis of endometriosis: Findings from a national</w:t>
      </w:r>
    </w:p>
    <w:p w14:paraId="611D2B7B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data linkage cohort study</w:t>
      </w:r>
    </w:p>
    <w:p w14:paraId="3719EF34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Ingrid J Rowlands, Richard Hockey, Jason A Abbott, Grant W Montgomery, Gita D</w:t>
      </w:r>
    </w:p>
    <w:p w14:paraId="78FA740E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Mishra</w:t>
      </w:r>
    </w:p>
    <w:p w14:paraId="3B4338F1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Obes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Res Clin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Pract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14;S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1871-403X(22)00027-8.doi:</w:t>
      </w:r>
    </w:p>
    <w:p w14:paraId="1CEC5922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10.1016/j.orcp.2022.04.002.Online ahead of print.</w:t>
      </w:r>
    </w:p>
    <w:p w14:paraId="32243030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1597C2D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Women with lower body mass index (BMI) have a higher risk of surgically</w:t>
      </w:r>
    </w:p>
    <w:p w14:paraId="50FDA2EA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confirmed endometriosis but this finding runs counterintuitive to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oestrogen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-dependent</w:t>
      </w:r>
    </w:p>
    <w:p w14:paraId="2D5FB94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theory for the disease. Increasingly, endometriosis is diagnosed via non-surgical methods. We</w:t>
      </w:r>
    </w:p>
    <w:p w14:paraId="4C54DE6B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examined BMI at age 18-23 years, and changes in BMI, and the risk of endometriosis</w:t>
      </w:r>
    </w:p>
    <w:p w14:paraId="6EE59D17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according to the diagnostic method.</w:t>
      </w:r>
    </w:p>
    <w:p w14:paraId="79C85C9C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Methods: We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analysed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data from 11 794 young women, born in 1989-95, who completed six</w:t>
      </w:r>
    </w:p>
    <w:p w14:paraId="1695C42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surveys as part of an Australian, longitudinal cohort study between 2013 and 2018. Women's</w:t>
      </w:r>
    </w:p>
    <w:p w14:paraId="0A940E21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survey responses were linked to administrative health records to identify endometriosis. Cox</w:t>
      </w:r>
    </w:p>
    <w:p w14:paraId="6CEEAD4D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proportional hazards models modelled associations between BMI at age 18-23 years, and</w:t>
      </w:r>
    </w:p>
    <w:p w14:paraId="1B7B4E5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changes in BMI, and endometriosis. Analyses were stratified by the diagnostic method of</w:t>
      </w:r>
    </w:p>
    <w:p w14:paraId="64796B0C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endometriosis: clinically confirmed endometriosis (based on hospital discharge diagnosis)</w:t>
      </w:r>
    </w:p>
    <w:p w14:paraId="210C867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versus clinically suspected endometriosis (women's reports of physician-diagnosed</w:t>
      </w:r>
    </w:p>
    <w:p w14:paraId="788FA4F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endometriosis).</w:t>
      </w:r>
    </w:p>
    <w:p w14:paraId="39B9D10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There were 223 cases of clinically confirmed endometriosis and 396 cases of</w:t>
      </w:r>
    </w:p>
    <w:p w14:paraId="28960132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clinically suspected endometriosis. Women who gained weight after age 18-23 had lower risk</w:t>
      </w:r>
    </w:p>
    <w:p w14:paraId="1DB89F5A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clinically confirmed endometriosis than women without endometriosis whose weight</w:t>
      </w:r>
    </w:p>
    <w:p w14:paraId="4EC5FE6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remained stable (HR = 0.64, 95% CI = 0.47-0.88). Women who were overweight (HR = 1.29,</w:t>
      </w:r>
    </w:p>
    <w:p w14:paraId="1CBDDD43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95% CI = 1.01-1.66) at age 18-23 had higher risk of clinically suspected endometriosis than</w:t>
      </w:r>
    </w:p>
    <w:p w14:paraId="3ADE0205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of normal weight without endometriosis.</w:t>
      </w:r>
    </w:p>
    <w:p w14:paraId="720059D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The risk of clinically confirmed endometriosis was lower among women who</w:t>
      </w:r>
    </w:p>
    <w:p w14:paraId="1284BAF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gained weight compared to women with stable weight. The risk of clinically suspected</w:t>
      </w:r>
    </w:p>
    <w:p w14:paraId="090598C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was higher among women who were overweight compared to normal weight.</w:t>
      </w:r>
    </w:p>
    <w:p w14:paraId="0E19C115" w14:textId="36C2FE95" w:rsidR="00852BED" w:rsidRPr="005B5C02" w:rsidRDefault="005B5C02" w:rsidP="005B5C02">
      <w:r>
        <w:rPr>
          <w:rFonts w:ascii="Times New Roman" w:hAnsi="Times New Roman" w:cs="Times New Roman"/>
          <w:color w:val="212121"/>
          <w:lang w:val="en-US"/>
        </w:rPr>
        <w:t>Keywords: Body mass index; Cohort study; Endometriosis; Obesity; Weight change.</w:t>
      </w:r>
    </w:p>
    <w:sectPr w:rsidR="00852BED" w:rsidRPr="005B5C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2022-05-11T09:20:00Z</dcterms:created>
  <dcterms:modified xsi:type="dcterms:W3CDTF">2022-05-11T09:20:00Z</dcterms:modified>
</cp:coreProperties>
</file>