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AD4D8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31. Increasing incidence and spatial hotspots of hospitalized endometriosis in France</w:t>
      </w:r>
    </w:p>
    <w:p w14:paraId="3BC42AA0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from 2011 to 2017</w:t>
      </w:r>
    </w:p>
    <w:p w14:paraId="6FA412E4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Jo.lle Le Moal, Sarah Goria, Julie Chesneau, Arnaud Fauconnier, Marina</w:t>
      </w:r>
    </w:p>
    <w:p w14:paraId="04759BB5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Kvaskoff, Perrine De Crouy-Chanel, Vanessa Kahn, Emile Dara., Michel Canis</w:t>
      </w:r>
    </w:p>
    <w:p w14:paraId="2EE3315E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Sci Rep. 2022 Apr 28;12(1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):6966.doi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10.1038/s41598-022-11017-x.</w:t>
      </w:r>
    </w:p>
    <w:p w14:paraId="5CE9A8FB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0B048A1E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is a female hormone-dependent disease, possibly related to endocrine</w:t>
      </w:r>
    </w:p>
    <w:p w14:paraId="483347B6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disruptor exposure. We aimed to monitor this disease nationwide in France and analyze</w:t>
      </w:r>
    </w:p>
    <w:p w14:paraId="7252EE66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spatial trends at a fine scale to explore possible environmental contributing risk factors. We</w:t>
      </w:r>
    </w:p>
    <w:p w14:paraId="7290C4B9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conducted a retrospective national descriptive study from 2011 to 2017 in females aged 10</w:t>
      </w:r>
    </w:p>
    <w:p w14:paraId="36D7EF35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years old and over, using comprehensive hospital discharge data. Cases were identified using</w:t>
      </w:r>
    </w:p>
    <w:p w14:paraId="1500A3CA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ICD-10 N80 codes and were localized at their municipality of residence. We defined incident</w:t>
      </w:r>
    </w:p>
    <w:p w14:paraId="54984690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cases as the first hospital stay of patients, without a stay in at least the previous 5 years. We</w:t>
      </w:r>
    </w:p>
    <w:p w14:paraId="70D7D568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performed statistical analyses according to age and type of endometriosis, and we modeled</w:t>
      </w:r>
    </w:p>
    <w:p w14:paraId="2322E17B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temporal, spatial and spatiotemporal trends. We identified 207,462 incident cases of alltype</w:t>
      </w:r>
    </w:p>
    <w:p w14:paraId="0C30F857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hospitalized endometriosis (83,112 for non-adenomyosis cases). The crude incidence</w:t>
      </w:r>
    </w:p>
    <w:p w14:paraId="4DB3CE1D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rate for the study period was 9.85/10,000 person-years (3.95/10,000 for non-adenomyosis</w:t>
      </w:r>
    </w:p>
    <w:p w14:paraId="05F70455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cases). From 2011 to 2017, the risk of all-type endometriosis increased by 8.5% (95% CI:</w:t>
      </w:r>
    </w:p>
    <w:p w14:paraId="706DE387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3.9; 13.4) (by 3.6% (95% CI: 0.6; 6.8) for non-adenomyosis cases). The risk was</w:t>
      </w:r>
    </w:p>
    <w:p w14:paraId="42BEAA27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geographically heterogeneous, with 20 high-risk hotspots, showing similar results for nonadenomyosis</w:t>
      </w:r>
    </w:p>
    <w:p w14:paraId="27927A9A" w14:textId="77777777" w:rsidR="00B877ED" w:rsidRDefault="00B877ED" w:rsidP="00B877E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cases. Shifting practice patterns, improved awareness and healthcare disparities</w:t>
      </w:r>
    </w:p>
    <w:p w14:paraId="0E19C115" w14:textId="39763705" w:rsidR="00852BED" w:rsidRPr="00B877ED" w:rsidRDefault="00B877ED" w:rsidP="00B877ED">
      <w:r>
        <w:rPr>
          <w:rFonts w:ascii="Times New Roman" w:hAnsi="Times New Roman" w:cs="Times New Roman"/>
          <w:color w:val="212121"/>
          <w:lang w:val="en-US"/>
        </w:rPr>
        <w:t>interlinked with environmental risk factors could explain these trends.</w:t>
      </w:r>
    </w:p>
    <w:sectPr w:rsidR="00852BED" w:rsidRPr="00B877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36CC0" w14:textId="77777777" w:rsidR="00D5321B" w:rsidRDefault="00D5321B" w:rsidP="002F65CA">
      <w:r>
        <w:separator/>
      </w:r>
    </w:p>
  </w:endnote>
  <w:endnote w:type="continuationSeparator" w:id="0">
    <w:p w14:paraId="0A60AB9F" w14:textId="77777777" w:rsidR="00D5321B" w:rsidRDefault="00D5321B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AF057F" w14:textId="77777777" w:rsidR="00D5321B" w:rsidRDefault="00D5321B" w:rsidP="002F65CA">
      <w:r>
        <w:separator/>
      </w:r>
    </w:p>
  </w:footnote>
  <w:footnote w:type="continuationSeparator" w:id="0">
    <w:p w14:paraId="36DCE7FB" w14:textId="77777777" w:rsidR="00D5321B" w:rsidRDefault="00D5321B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223576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5321B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2022-05-11T09:28:00Z</dcterms:created>
  <dcterms:modified xsi:type="dcterms:W3CDTF">2022-05-11T09:28:00Z</dcterms:modified>
</cp:coreProperties>
</file>