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BE7740" w14:textId="77777777" w:rsidR="00DD497E" w:rsidRDefault="00DD497E" w:rsidP="00DD497E">
      <w:pPr>
        <w:autoSpaceDE w:val="0"/>
        <w:autoSpaceDN w:val="0"/>
        <w:adjustRightInd w:val="0"/>
        <w:rPr>
          <w:rFonts w:ascii="Times New Roman" w:hAnsi="Times New Roman" w:cs="Times New Roman"/>
          <w:color w:val="FF0000"/>
          <w:lang w:val="en-US"/>
        </w:rPr>
      </w:pPr>
      <w:r>
        <w:rPr>
          <w:rFonts w:ascii="Times New Roman" w:hAnsi="Times New Roman" w:cs="Times New Roman"/>
          <w:color w:val="FF0000"/>
          <w:lang w:val="en-US"/>
        </w:rPr>
        <w:t>38. Comparing Characteristics of and Postoperative Morbidity after Hysterectomy</w:t>
      </w:r>
    </w:p>
    <w:p w14:paraId="3BF17A1D" w14:textId="77777777" w:rsidR="00DD497E" w:rsidRDefault="00DD497E" w:rsidP="00DD497E">
      <w:pPr>
        <w:autoSpaceDE w:val="0"/>
        <w:autoSpaceDN w:val="0"/>
        <w:adjustRightInd w:val="0"/>
        <w:rPr>
          <w:rFonts w:ascii="Times New Roman" w:hAnsi="Times New Roman" w:cs="Times New Roman"/>
          <w:color w:val="FF0000"/>
          <w:lang w:val="en-US"/>
        </w:rPr>
      </w:pPr>
      <w:r>
        <w:rPr>
          <w:rFonts w:ascii="Times New Roman" w:hAnsi="Times New Roman" w:cs="Times New Roman"/>
          <w:color w:val="FF0000"/>
          <w:lang w:val="en-US"/>
        </w:rPr>
        <w:t>for Endometriosis versus other Benign Indications: A NSQIP Study</w:t>
      </w:r>
    </w:p>
    <w:p w14:paraId="39E6764A" w14:textId="77777777" w:rsidR="00DD497E" w:rsidRDefault="00DD497E" w:rsidP="00DD497E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 xml:space="preserve">Kelsey A Stewart, Katelyn M Tessier, Dan I </w:t>
      </w:r>
      <w:proofErr w:type="spellStart"/>
      <w:r>
        <w:rPr>
          <w:rFonts w:ascii="Times New Roman" w:hAnsi="Times New Roman" w:cs="Times New Roman"/>
          <w:color w:val="00B150"/>
          <w:lang w:val="en-US"/>
        </w:rPr>
        <w:t>Lebovic</w:t>
      </w:r>
      <w:proofErr w:type="spellEnd"/>
    </w:p>
    <w:p w14:paraId="5954C0DC" w14:textId="77777777" w:rsidR="00DD497E" w:rsidRDefault="00DD497E" w:rsidP="00DD497E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 xml:space="preserve">J Minim Invasive Gynecol. 2022 Apr </w:t>
      </w:r>
      <w:proofErr w:type="gramStart"/>
      <w:r>
        <w:rPr>
          <w:rFonts w:ascii="Times New Roman" w:hAnsi="Times New Roman" w:cs="Times New Roman"/>
          <w:color w:val="00B150"/>
          <w:lang w:val="en-US"/>
        </w:rPr>
        <w:t>23;S</w:t>
      </w:r>
      <w:proofErr w:type="gramEnd"/>
      <w:r>
        <w:rPr>
          <w:rFonts w:ascii="Times New Roman" w:hAnsi="Times New Roman" w:cs="Times New Roman"/>
          <w:color w:val="00B150"/>
          <w:lang w:val="en-US"/>
        </w:rPr>
        <w:t>1553-4650(22)00160-1.doi:</w:t>
      </w:r>
    </w:p>
    <w:p w14:paraId="237798CE" w14:textId="77777777" w:rsidR="00DD497E" w:rsidRDefault="00DD497E" w:rsidP="00DD497E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>10.1016/j.jmig.2022.04.009. Online ahead of print.</w:t>
      </w:r>
    </w:p>
    <w:p w14:paraId="3E2DEB5B" w14:textId="77777777" w:rsidR="00DD497E" w:rsidRDefault="00DD497E" w:rsidP="00DD497E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Abstract</w:t>
      </w:r>
    </w:p>
    <w:p w14:paraId="02AAD7B5" w14:textId="77777777" w:rsidR="00DD497E" w:rsidRDefault="00DD497E" w:rsidP="00DD497E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Study objective: Compare the difference in post-operative morbidity for benign total</w:t>
      </w:r>
    </w:p>
    <w:p w14:paraId="6F21DF77" w14:textId="77777777" w:rsidR="00DD497E" w:rsidRDefault="00DD497E" w:rsidP="00DD497E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hysterectomy by indication.</w:t>
      </w:r>
    </w:p>
    <w:p w14:paraId="0186D897" w14:textId="77777777" w:rsidR="00DD497E" w:rsidRDefault="00DD497E" w:rsidP="00DD497E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Design: Retrospective cohort SETTING: US Hospitals participating in American College of</w:t>
      </w:r>
    </w:p>
    <w:p w14:paraId="2D2FC2BE" w14:textId="77777777" w:rsidR="00DD497E" w:rsidRDefault="00DD497E" w:rsidP="00DD497E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Surgeons National Surgical Quality Improvement Project (ACS-NSQIP) database from 2018</w:t>
      </w:r>
    </w:p>
    <w:p w14:paraId="1C4EBB1C" w14:textId="77777777" w:rsidR="00DD497E" w:rsidRDefault="00DD497E" w:rsidP="00DD497E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to 2019.</w:t>
      </w:r>
    </w:p>
    <w:p w14:paraId="136CD61D" w14:textId="77777777" w:rsidR="00DD497E" w:rsidRDefault="00DD497E" w:rsidP="00DD497E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Patients: Patients undergoing total hysterectomy for benign indications 18-55 years old.</w:t>
      </w:r>
    </w:p>
    <w:p w14:paraId="515EC374" w14:textId="77777777" w:rsidR="00DD497E" w:rsidRDefault="00DD497E" w:rsidP="00DD497E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Interventions: Univariate comparisons were made between patients with hysterectomies for</w:t>
      </w:r>
    </w:p>
    <w:p w14:paraId="3B7D2214" w14:textId="77777777" w:rsidR="00DD497E" w:rsidRDefault="00DD497E" w:rsidP="00DD497E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endometriosis vs other benign indications. Unadjusted and adjusted logistic regression</w:t>
      </w:r>
    </w:p>
    <w:p w14:paraId="4A912ED5" w14:textId="77777777" w:rsidR="00DD497E" w:rsidRDefault="00DD497E" w:rsidP="00DD497E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models were used to investigate the association between primary outcomes and hysterectomy</w:t>
      </w:r>
    </w:p>
    <w:p w14:paraId="3EBE8BDA" w14:textId="77777777" w:rsidR="00DD497E" w:rsidRDefault="00DD497E" w:rsidP="00DD497E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indication; covariates in the adjusted model including age, race, ethnicity and route.</w:t>
      </w:r>
    </w:p>
    <w:p w14:paraId="2F08084E" w14:textId="77777777" w:rsidR="00DD497E" w:rsidRDefault="00DD497E" w:rsidP="00DD497E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Measurements and main results: A total of 29,742 women underwent hysterectomies, of</w:t>
      </w:r>
    </w:p>
    <w:p w14:paraId="62337791" w14:textId="77777777" w:rsidR="00DD497E" w:rsidRDefault="00DD497E" w:rsidP="00DD497E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which 3,596 (12.1%) were performed for endometriosis. Patients undergoing hysterectomy</w:t>
      </w:r>
    </w:p>
    <w:p w14:paraId="6B7EF0B5" w14:textId="77777777" w:rsidR="00DD497E" w:rsidRDefault="00DD497E" w:rsidP="00DD497E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for endometriosis were likely to be younger, predominately White, and had less</w:t>
      </w:r>
    </w:p>
    <w:p w14:paraId="7FE53354" w14:textId="77777777" w:rsidR="00DD497E" w:rsidRDefault="00DD497E" w:rsidP="00DD497E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comorbidities. They were also more likely to have prior abdominal surgery, prior pelvic</w:t>
      </w:r>
    </w:p>
    <w:p w14:paraId="16EF2D28" w14:textId="77777777" w:rsidR="00DD497E" w:rsidRDefault="00DD497E" w:rsidP="00DD497E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surgery, undergo a laparoscopic approach, and undergo lysis of adhesions (all p&lt;0.001).</w:t>
      </w:r>
    </w:p>
    <w:p w14:paraId="70A412F2" w14:textId="77777777" w:rsidR="00DD497E" w:rsidRDefault="00DD497E" w:rsidP="00DD497E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Overall length of stay (≥1 day 73.1% vs. 78.6%, p=0.983) and operative time (median 118.0</w:t>
      </w:r>
    </w:p>
    <w:p w14:paraId="6177CFB0" w14:textId="77777777" w:rsidR="00DD497E" w:rsidRDefault="00DD497E" w:rsidP="00DD497E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vs 125.0 minutes, p&lt;0.001) were similar in both groups. Examining primary outcomes,</w:t>
      </w:r>
    </w:p>
    <w:p w14:paraId="4C6783DB" w14:textId="77777777" w:rsidR="00DD497E" w:rsidRDefault="00DD497E" w:rsidP="00DD497E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patients with endometriosis were more likely to experience major morbidity (3.8% vs. 3.4%</w:t>
      </w:r>
    </w:p>
    <w:p w14:paraId="3A3A3822" w14:textId="77777777" w:rsidR="00DD497E" w:rsidRDefault="00DD497E" w:rsidP="00DD497E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proofErr w:type="spellStart"/>
      <w:r>
        <w:rPr>
          <w:rFonts w:ascii="Times New Roman" w:hAnsi="Times New Roman" w:cs="Times New Roman"/>
          <w:color w:val="212121"/>
          <w:lang w:val="en-US"/>
        </w:rPr>
        <w:t>aOR</w:t>
      </w:r>
      <w:proofErr w:type="spellEnd"/>
      <w:r>
        <w:rPr>
          <w:rFonts w:ascii="Times New Roman" w:hAnsi="Times New Roman" w:cs="Times New Roman"/>
          <w:color w:val="212121"/>
          <w:lang w:val="en-US"/>
        </w:rPr>
        <w:t xml:space="preserve"> 1.25, p=0.033), with no difference in minor or overall morbidity (5.8% vs. 6.9%</w:t>
      </w:r>
    </w:p>
    <w:p w14:paraId="66884671" w14:textId="77777777" w:rsidR="00DD497E" w:rsidRDefault="00DD497E" w:rsidP="00DD497E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p=0.874, 8.8% vs 9.4% p=0.185 respectively). There were two 30-day mortalities, none in</w:t>
      </w:r>
    </w:p>
    <w:p w14:paraId="150351F1" w14:textId="77777777" w:rsidR="00DD497E" w:rsidRDefault="00DD497E" w:rsidP="00DD497E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 xml:space="preserve">the endometriosis </w:t>
      </w:r>
      <w:proofErr w:type="gramStart"/>
      <w:r>
        <w:rPr>
          <w:rFonts w:ascii="Times New Roman" w:hAnsi="Times New Roman" w:cs="Times New Roman"/>
          <w:color w:val="212121"/>
          <w:lang w:val="en-US"/>
        </w:rPr>
        <w:t>group</w:t>
      </w:r>
      <w:proofErr w:type="gramEnd"/>
      <w:r>
        <w:rPr>
          <w:rFonts w:ascii="Times New Roman" w:hAnsi="Times New Roman" w:cs="Times New Roman"/>
          <w:color w:val="212121"/>
          <w:lang w:val="en-US"/>
        </w:rPr>
        <w:t>. Endometriosis patients were more likely to develop deep surgical</w:t>
      </w:r>
    </w:p>
    <w:p w14:paraId="3B6B4BD0" w14:textId="77777777" w:rsidR="00DD497E" w:rsidRDefault="00DD497E" w:rsidP="00DD497E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site (SSI)/organ space infection (2.3% vs. 1.6%, OR 1.42, p = 0.024), and less likely to</w:t>
      </w:r>
    </w:p>
    <w:p w14:paraId="1E484C6C" w14:textId="77777777" w:rsidR="00DD497E" w:rsidRDefault="00DD497E" w:rsidP="00DD497E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receive blood transfusion (1.8% vs. 3.0%, OR 0.58, p&lt;0.001). There was no difference in</w:t>
      </w:r>
    </w:p>
    <w:p w14:paraId="56A88740" w14:textId="77777777" w:rsidR="00DD497E" w:rsidRDefault="00DD497E" w:rsidP="00DD497E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occurrence of superficial SSI, sepsis, venous thromboembolism, readmission or re-operation</w:t>
      </w:r>
    </w:p>
    <w:p w14:paraId="1A598F0C" w14:textId="77777777" w:rsidR="00DD497E" w:rsidRDefault="00DD497E" w:rsidP="00DD497E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between groups.</w:t>
      </w:r>
    </w:p>
    <w:p w14:paraId="78D18F4E" w14:textId="77777777" w:rsidR="00DD497E" w:rsidRDefault="00DD497E" w:rsidP="00DD497E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Conclusion: Patients undergoing hysterectomy for endometriosis were more likely to</w:t>
      </w:r>
    </w:p>
    <w:p w14:paraId="1A739C46" w14:textId="77777777" w:rsidR="00DD497E" w:rsidRDefault="00DD497E" w:rsidP="00DD497E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experience major morbidity and deep SSI, although overall major morbidity is rare.</w:t>
      </w:r>
    </w:p>
    <w:p w14:paraId="0E19C115" w14:textId="603EE37F" w:rsidR="00852BED" w:rsidRPr="00DD497E" w:rsidRDefault="00DD497E" w:rsidP="00DD497E">
      <w:r>
        <w:rPr>
          <w:rFonts w:ascii="Times New Roman" w:hAnsi="Times New Roman" w:cs="Times New Roman"/>
          <w:color w:val="212121"/>
          <w:lang w:val="en-US"/>
        </w:rPr>
        <w:t>Keywords: Endometriosis; Hysterectomy; Infection; Morbidity; NSQIP.</w:t>
      </w:r>
    </w:p>
    <w:sectPr w:rsidR="00852BED" w:rsidRPr="00DD497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5A0EE8" w14:textId="77777777" w:rsidR="00811AA1" w:rsidRDefault="00811AA1" w:rsidP="002F65CA">
      <w:r>
        <w:separator/>
      </w:r>
    </w:p>
  </w:endnote>
  <w:endnote w:type="continuationSeparator" w:id="0">
    <w:p w14:paraId="11323DA8" w14:textId="77777777" w:rsidR="00811AA1" w:rsidRDefault="00811AA1" w:rsidP="002F65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D7D5CE" w14:textId="77777777" w:rsidR="00811AA1" w:rsidRDefault="00811AA1" w:rsidP="002F65CA">
      <w:r>
        <w:separator/>
      </w:r>
    </w:p>
  </w:footnote>
  <w:footnote w:type="continuationSeparator" w:id="0">
    <w:p w14:paraId="48C7F6C1" w14:textId="77777777" w:rsidR="00811AA1" w:rsidRDefault="00811AA1" w:rsidP="002F65C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76A6"/>
    <w:rsid w:val="000103D1"/>
    <w:rsid w:val="00016D92"/>
    <w:rsid w:val="0002193A"/>
    <w:rsid w:val="0004655A"/>
    <w:rsid w:val="000670A3"/>
    <w:rsid w:val="00085D85"/>
    <w:rsid w:val="000911C6"/>
    <w:rsid w:val="0009365F"/>
    <w:rsid w:val="0009794E"/>
    <w:rsid w:val="00137C8E"/>
    <w:rsid w:val="00160D32"/>
    <w:rsid w:val="00165008"/>
    <w:rsid w:val="001B64BD"/>
    <w:rsid w:val="00217FAF"/>
    <w:rsid w:val="00223576"/>
    <w:rsid w:val="002F65CA"/>
    <w:rsid w:val="00322CCC"/>
    <w:rsid w:val="00364F02"/>
    <w:rsid w:val="00385693"/>
    <w:rsid w:val="003B1C35"/>
    <w:rsid w:val="003F709D"/>
    <w:rsid w:val="00403844"/>
    <w:rsid w:val="004A6B9F"/>
    <w:rsid w:val="004E7A6A"/>
    <w:rsid w:val="00523748"/>
    <w:rsid w:val="00567A4D"/>
    <w:rsid w:val="005B3F57"/>
    <w:rsid w:val="005B5C02"/>
    <w:rsid w:val="005B6AE4"/>
    <w:rsid w:val="005C11C7"/>
    <w:rsid w:val="005E1977"/>
    <w:rsid w:val="005E516D"/>
    <w:rsid w:val="005F4EAD"/>
    <w:rsid w:val="00627A86"/>
    <w:rsid w:val="006419FC"/>
    <w:rsid w:val="006E236A"/>
    <w:rsid w:val="00772B32"/>
    <w:rsid w:val="00797B77"/>
    <w:rsid w:val="007A061C"/>
    <w:rsid w:val="007F31DC"/>
    <w:rsid w:val="00811AA1"/>
    <w:rsid w:val="00852BED"/>
    <w:rsid w:val="00906913"/>
    <w:rsid w:val="009F33F4"/>
    <w:rsid w:val="00A009D7"/>
    <w:rsid w:val="00A16744"/>
    <w:rsid w:val="00A24CDF"/>
    <w:rsid w:val="00A45AAE"/>
    <w:rsid w:val="00A47C02"/>
    <w:rsid w:val="00A555FD"/>
    <w:rsid w:val="00A80B37"/>
    <w:rsid w:val="00AA4C82"/>
    <w:rsid w:val="00AB76A6"/>
    <w:rsid w:val="00AD2674"/>
    <w:rsid w:val="00AF41C5"/>
    <w:rsid w:val="00B877ED"/>
    <w:rsid w:val="00B966DC"/>
    <w:rsid w:val="00BC5051"/>
    <w:rsid w:val="00BC6850"/>
    <w:rsid w:val="00BD611D"/>
    <w:rsid w:val="00BF0EA1"/>
    <w:rsid w:val="00C00F75"/>
    <w:rsid w:val="00C216C3"/>
    <w:rsid w:val="00C275F8"/>
    <w:rsid w:val="00C55F72"/>
    <w:rsid w:val="00C95717"/>
    <w:rsid w:val="00CA0ECB"/>
    <w:rsid w:val="00CA1A8E"/>
    <w:rsid w:val="00CB2E98"/>
    <w:rsid w:val="00CB574B"/>
    <w:rsid w:val="00CB5B2F"/>
    <w:rsid w:val="00CE09C4"/>
    <w:rsid w:val="00D262FA"/>
    <w:rsid w:val="00D86657"/>
    <w:rsid w:val="00D86C7A"/>
    <w:rsid w:val="00DC1351"/>
    <w:rsid w:val="00DD14A0"/>
    <w:rsid w:val="00DD3612"/>
    <w:rsid w:val="00DD497E"/>
    <w:rsid w:val="00DE1BD4"/>
    <w:rsid w:val="00E22451"/>
    <w:rsid w:val="00E23B23"/>
    <w:rsid w:val="00E62500"/>
    <w:rsid w:val="00E661C7"/>
    <w:rsid w:val="00E909F4"/>
    <w:rsid w:val="00F473E1"/>
    <w:rsid w:val="00F50AE5"/>
    <w:rsid w:val="00F639C4"/>
    <w:rsid w:val="00F7651B"/>
    <w:rsid w:val="00F76DEF"/>
    <w:rsid w:val="00FB7A0D"/>
    <w:rsid w:val="00FE1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T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5D42CC8D"/>
  <w15:chartTrackingRefBased/>
  <w15:docId w15:val="{5BA9D199-AE2E-1F44-9268-34592DBC64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T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F65C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F65CA"/>
  </w:style>
  <w:style w:type="paragraph" w:styleId="Footer">
    <w:name w:val="footer"/>
    <w:basedOn w:val="Normal"/>
    <w:link w:val="FooterChar"/>
    <w:uiPriority w:val="99"/>
    <w:unhideWhenUsed/>
    <w:rsid w:val="002F65C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F65C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377</Words>
  <Characters>2152</Characters>
  <Application>Microsoft Office Word</Application>
  <DocSecurity>0</DocSecurity>
  <Lines>17</Lines>
  <Paragraphs>5</Paragraphs>
  <ScaleCrop>false</ScaleCrop>
  <Company/>
  <LinksUpToDate>false</LinksUpToDate>
  <CharactersWithSpaces>2524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Ezgi Darıcı</dc:creator>
  <cp:keywords/>
  <dc:description/>
  <cp:lastModifiedBy>Ezgi Darıcı</cp:lastModifiedBy>
  <cp:revision>2</cp:revision>
  <dcterms:created xsi:type="dcterms:W3CDTF">2022-05-11T09:30:00Z</dcterms:created>
  <dcterms:modified xsi:type="dcterms:W3CDTF">2022-05-11T09:30:00Z</dcterms:modified>
</cp:coreProperties>
</file>