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027AA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59. Efficacy of Laparoscopic Surgery Combined With Leuprorelin in the Treatment</w:t>
      </w:r>
    </w:p>
    <w:p w14:paraId="23288E39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of Endometriosis Associated With Infertility and Analysis of Influencing Factors</w:t>
      </w:r>
    </w:p>
    <w:p w14:paraId="65E4D89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FF0000"/>
          <w:lang w:val="en-US"/>
        </w:rPr>
      </w:pPr>
      <w:r>
        <w:rPr>
          <w:rFonts w:ascii="Times New Roman" w:hAnsi="Times New Roman" w:cs="Times New Roman"/>
          <w:color w:val="FF0000"/>
          <w:lang w:val="en-US"/>
        </w:rPr>
        <w:t>for Recurrence</w:t>
      </w:r>
    </w:p>
    <w:p w14:paraId="1756791E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Lu Yu, Yunming Sun, Qiongyan Fang</w:t>
      </w:r>
    </w:p>
    <w:p w14:paraId="6B714053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00B150"/>
          <w:lang w:val="en-US"/>
        </w:rPr>
      </w:pPr>
      <w:r>
        <w:rPr>
          <w:rFonts w:ascii="Times New Roman" w:hAnsi="Times New Roman" w:cs="Times New Roman"/>
          <w:color w:val="00B150"/>
          <w:lang w:val="en-US"/>
        </w:rPr>
        <w:t>Front Surg. 2022 Apr 19;9:873698.doi: 10.3389/fsurg.2022.873698. eCollection 2022.</w:t>
      </w:r>
    </w:p>
    <w:p w14:paraId="72BD947B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Abstract</w:t>
      </w:r>
    </w:p>
    <w:p w14:paraId="6DF614E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Objective: To explore the curative effect of laparoscopic surgery combined with leuprorelin</w:t>
      </w:r>
    </w:p>
    <w:p w14:paraId="148D33F2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 the treatment of endometriosis with infertility and the related factors of recurrence after</w:t>
      </w:r>
    </w:p>
    <w:p w14:paraId="080E83C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treatment.</w:t>
      </w:r>
    </w:p>
    <w:p w14:paraId="2FE28AB1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Methods: A total of 158 patients with endometriosis and infertility were selected in our</w:t>
      </w:r>
    </w:p>
    <w:p w14:paraId="20EF6585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hospital from January 2019 to June 2020. Patients were randomly divided into the control</w:t>
      </w:r>
    </w:p>
    <w:p w14:paraId="1B166228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group and the observation group, with 79 patients in each group. Patients in the control group</w:t>
      </w:r>
    </w:p>
    <w:p w14:paraId="44C04CE8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was treated by laparoscopy surgery combined with dydrogesterone, while those in the</w:t>
      </w:r>
    </w:p>
    <w:p w14:paraId="205338D9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observation group was treated with laparoscopic surgery combined with leuprorelin. The</w:t>
      </w:r>
    </w:p>
    <w:p w14:paraId="33B8AB22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hormone levels, recurrence rate, pregnancy rate and adverse reaction of the two groups were</w:t>
      </w:r>
    </w:p>
    <w:p w14:paraId="4E8A0A12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compared. Combined with clinical and pathological information, the related factors of</w:t>
      </w:r>
    </w:p>
    <w:p w14:paraId="20B142C3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postoperative recurrence were analyzed.</w:t>
      </w:r>
    </w:p>
    <w:p w14:paraId="4B5AEDBC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Results: After treatment, the levels of luteinizing hormone, follicle-stimulating hormone and</w:t>
      </w:r>
    </w:p>
    <w:p w14:paraId="7A5F164B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estradiol in the observation group were lower than those in the control group (P &lt; 0.05). The</w:t>
      </w:r>
    </w:p>
    <w:p w14:paraId="2CE722A6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recurrence rate at 12 months after operation in the observation group was lower than that in</w:t>
      </w:r>
    </w:p>
    <w:p w14:paraId="3A290742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control group, and the pregnancy rate was higher than that in the control group (P &lt; 0.05).</w:t>
      </w:r>
    </w:p>
    <w:p w14:paraId="5308375B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However, there was no significant difference in the incidence of adverse reactions between</w:t>
      </w:r>
    </w:p>
    <w:p w14:paraId="7D4089B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the two groups (P &gt; 0.05). Preoperative dysmenorrhea was an independent risk factor for</w:t>
      </w:r>
    </w:p>
    <w:p w14:paraId="2FF0A573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postoperative recurrence in patients with endometriosis, and postoperative pregnancy was a</w:t>
      </w:r>
    </w:p>
    <w:p w14:paraId="3E07F070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protective factor for postoperative recurrence in patients with endometriosis (P &lt; 0.05).</w:t>
      </w:r>
    </w:p>
    <w:p w14:paraId="519FD35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Conclusion: Laparoscopy combined with leuprorelin in the treatment of endometriosis with</w:t>
      </w:r>
    </w:p>
    <w:p w14:paraId="7B7BF54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infertility can improve hormone levels, increase the pregnancy rate and reduce the recurrence</w:t>
      </w:r>
    </w:p>
    <w:p w14:paraId="5D7E10AA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rate. Preoperative dysmenorrhea is an independent risk factor for postoperative recurrence,</w:t>
      </w:r>
    </w:p>
    <w:p w14:paraId="48524278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which should be quantified and included in the recurrence risk prediction model.</w:t>
      </w:r>
    </w:p>
    <w:p w14:paraId="16CCC0F9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Postoperative pregnancy can reduce the recurrence rate after operation, and patients with</w:t>
      </w:r>
    </w:p>
    <w:p w14:paraId="4813DFF5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fertility requirements should be encouraged to make activ preparations for postoperative</w:t>
      </w:r>
    </w:p>
    <w:p w14:paraId="3D838921" w14:textId="77777777" w:rsidR="00D97D68" w:rsidRDefault="00D97D68" w:rsidP="00D97D68">
      <w:pPr>
        <w:autoSpaceDE w:val="0"/>
        <w:autoSpaceDN w:val="0"/>
        <w:adjustRightInd w:val="0"/>
        <w:rPr>
          <w:rFonts w:ascii="Times New Roman" w:hAnsi="Times New Roman" w:cs="Times New Roman"/>
          <w:color w:val="212121"/>
          <w:lang w:val="en-US"/>
        </w:rPr>
      </w:pPr>
      <w:r>
        <w:rPr>
          <w:rFonts w:ascii="Times New Roman" w:hAnsi="Times New Roman" w:cs="Times New Roman"/>
          <w:color w:val="212121"/>
          <w:lang w:val="en-US"/>
        </w:rPr>
        <w:t>pregnancy.</w:t>
      </w:r>
    </w:p>
    <w:p w14:paraId="0E19C115" w14:textId="7A3089A2" w:rsidR="00852BED" w:rsidRPr="00D97D68" w:rsidRDefault="00D97D68" w:rsidP="00D97D68">
      <w:r>
        <w:rPr>
          <w:rFonts w:ascii="Times New Roman" w:hAnsi="Times New Roman" w:cs="Times New Roman"/>
          <w:color w:val="212121"/>
          <w:lang w:val="en-US"/>
        </w:rPr>
        <w:t>Keywords: efficacy; endometriosis; laparoscopic surgery; leuprorelin; recurrence.</w:t>
      </w:r>
    </w:p>
    <w:sectPr w:rsidR="00852BED" w:rsidRPr="00D97D68" w:rsidSect="00633F19">
      <w:pgSz w:w="12240" w:h="15840"/>
      <w:pgMar w:top="1440" w:right="1440" w:bottom="1440" w:left="1440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55EAA5" w14:textId="77777777" w:rsidR="00295BB6" w:rsidRDefault="00295BB6" w:rsidP="002F65CA">
      <w:r>
        <w:separator/>
      </w:r>
    </w:p>
  </w:endnote>
  <w:endnote w:type="continuationSeparator" w:id="0">
    <w:p w14:paraId="10E43A65" w14:textId="77777777" w:rsidR="00295BB6" w:rsidRDefault="00295BB6" w:rsidP="002F65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17AE16" w14:textId="77777777" w:rsidR="00295BB6" w:rsidRDefault="00295BB6" w:rsidP="002F65CA">
      <w:r>
        <w:separator/>
      </w:r>
    </w:p>
  </w:footnote>
  <w:footnote w:type="continuationSeparator" w:id="0">
    <w:p w14:paraId="09B30D4B" w14:textId="77777777" w:rsidR="00295BB6" w:rsidRDefault="00295BB6" w:rsidP="002F65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6A6"/>
    <w:rsid w:val="0000295A"/>
    <w:rsid w:val="000103D1"/>
    <w:rsid w:val="00016D92"/>
    <w:rsid w:val="0002193A"/>
    <w:rsid w:val="0004655A"/>
    <w:rsid w:val="00062F94"/>
    <w:rsid w:val="000670A3"/>
    <w:rsid w:val="00085D85"/>
    <w:rsid w:val="000911C6"/>
    <w:rsid w:val="0009365F"/>
    <w:rsid w:val="0009794E"/>
    <w:rsid w:val="000F3D75"/>
    <w:rsid w:val="00137C8E"/>
    <w:rsid w:val="00160D32"/>
    <w:rsid w:val="00165008"/>
    <w:rsid w:val="001B64BD"/>
    <w:rsid w:val="00217FAF"/>
    <w:rsid w:val="00223576"/>
    <w:rsid w:val="00227D37"/>
    <w:rsid w:val="00230725"/>
    <w:rsid w:val="00295BB6"/>
    <w:rsid w:val="002F65CA"/>
    <w:rsid w:val="003136E1"/>
    <w:rsid w:val="00322CCC"/>
    <w:rsid w:val="00364F02"/>
    <w:rsid w:val="00385693"/>
    <w:rsid w:val="003B1C35"/>
    <w:rsid w:val="003C1552"/>
    <w:rsid w:val="003F709D"/>
    <w:rsid w:val="00403844"/>
    <w:rsid w:val="004A6B9F"/>
    <w:rsid w:val="004E7A6A"/>
    <w:rsid w:val="005148B4"/>
    <w:rsid w:val="00523748"/>
    <w:rsid w:val="00567A4D"/>
    <w:rsid w:val="005B3F57"/>
    <w:rsid w:val="005B5C02"/>
    <w:rsid w:val="005B6AE4"/>
    <w:rsid w:val="005C11C7"/>
    <w:rsid w:val="005E1977"/>
    <w:rsid w:val="005E516D"/>
    <w:rsid w:val="005F4EAD"/>
    <w:rsid w:val="00627A86"/>
    <w:rsid w:val="006419FC"/>
    <w:rsid w:val="006E236A"/>
    <w:rsid w:val="00721EDD"/>
    <w:rsid w:val="00733380"/>
    <w:rsid w:val="00772B32"/>
    <w:rsid w:val="00797B77"/>
    <w:rsid w:val="007A061C"/>
    <w:rsid w:val="007B416F"/>
    <w:rsid w:val="007D3626"/>
    <w:rsid w:val="007F31DC"/>
    <w:rsid w:val="00852BED"/>
    <w:rsid w:val="00906913"/>
    <w:rsid w:val="00924798"/>
    <w:rsid w:val="00981461"/>
    <w:rsid w:val="009A4FF8"/>
    <w:rsid w:val="009F33F4"/>
    <w:rsid w:val="00A009D7"/>
    <w:rsid w:val="00A16744"/>
    <w:rsid w:val="00A24CDF"/>
    <w:rsid w:val="00A45AAE"/>
    <w:rsid w:val="00A47C02"/>
    <w:rsid w:val="00A555FD"/>
    <w:rsid w:val="00A80B37"/>
    <w:rsid w:val="00AA059E"/>
    <w:rsid w:val="00AA4C82"/>
    <w:rsid w:val="00AB76A6"/>
    <w:rsid w:val="00AD2674"/>
    <w:rsid w:val="00AE38B0"/>
    <w:rsid w:val="00AF41C5"/>
    <w:rsid w:val="00B877ED"/>
    <w:rsid w:val="00B966DC"/>
    <w:rsid w:val="00BC5051"/>
    <w:rsid w:val="00BC6850"/>
    <w:rsid w:val="00BD611D"/>
    <w:rsid w:val="00BF0EA1"/>
    <w:rsid w:val="00C00F75"/>
    <w:rsid w:val="00C216C3"/>
    <w:rsid w:val="00C275F8"/>
    <w:rsid w:val="00C55F72"/>
    <w:rsid w:val="00C95717"/>
    <w:rsid w:val="00CA0ECB"/>
    <w:rsid w:val="00CA1A8E"/>
    <w:rsid w:val="00CB2E98"/>
    <w:rsid w:val="00CB574B"/>
    <w:rsid w:val="00CB5B2F"/>
    <w:rsid w:val="00CE09C4"/>
    <w:rsid w:val="00D262FA"/>
    <w:rsid w:val="00D86657"/>
    <w:rsid w:val="00D86C7A"/>
    <w:rsid w:val="00D97D68"/>
    <w:rsid w:val="00DB63DD"/>
    <w:rsid w:val="00DC1351"/>
    <w:rsid w:val="00DD14A0"/>
    <w:rsid w:val="00DD2ACF"/>
    <w:rsid w:val="00DD3612"/>
    <w:rsid w:val="00DD497E"/>
    <w:rsid w:val="00DE1BD4"/>
    <w:rsid w:val="00E22451"/>
    <w:rsid w:val="00E23B23"/>
    <w:rsid w:val="00E62500"/>
    <w:rsid w:val="00E661C7"/>
    <w:rsid w:val="00E909F4"/>
    <w:rsid w:val="00ED20CA"/>
    <w:rsid w:val="00F473E1"/>
    <w:rsid w:val="00F50AE5"/>
    <w:rsid w:val="00F639C4"/>
    <w:rsid w:val="00F7651B"/>
    <w:rsid w:val="00F76DEF"/>
    <w:rsid w:val="00F774A4"/>
    <w:rsid w:val="00FB7A0D"/>
    <w:rsid w:val="00FE1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D42CC8D"/>
  <w15:chartTrackingRefBased/>
  <w15:docId w15:val="{5BA9D199-AE2E-1F44-9268-34592DBC6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T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F65CA"/>
  </w:style>
  <w:style w:type="paragraph" w:styleId="Footer">
    <w:name w:val="footer"/>
    <w:basedOn w:val="Normal"/>
    <w:link w:val="FooterChar"/>
    <w:uiPriority w:val="99"/>
    <w:unhideWhenUsed/>
    <w:rsid w:val="002F65C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F65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2150</Characters>
  <Application>Microsoft Office Word</Application>
  <DocSecurity>0</DocSecurity>
  <Lines>17</Lines>
  <Paragraphs>5</Paragraphs>
  <ScaleCrop>false</ScaleCrop>
  <Company/>
  <LinksUpToDate>false</LinksUpToDate>
  <CharactersWithSpaces>2522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Ezgi Darıcı</dc:creator>
  <cp:keywords/>
  <dc:description/>
  <cp:lastModifiedBy>Ezgi Darıcı</cp:lastModifiedBy>
  <cp:revision>2</cp:revision>
  <dcterms:created xsi:type="dcterms:W3CDTF">2022-05-11T10:51:00Z</dcterms:created>
  <dcterms:modified xsi:type="dcterms:W3CDTF">2022-05-11T10:51:00Z</dcterms:modified>
</cp:coreProperties>
</file>