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74D39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65. A novel WWTR1:AFF2 fusion in an intra-abdominal soft tissue sarcoma with</w:t>
      </w:r>
    </w:p>
    <w:p w14:paraId="382A6620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associated endometriosis</w:t>
      </w:r>
    </w:p>
    <w:p w14:paraId="4D9C9FC2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Nooshin K Dashti, Josephine K Dermawan, J Kenneth Schoolmeester, Kevin C</w:t>
      </w:r>
    </w:p>
    <w:p w14:paraId="0CA9AFEB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Halling, Cristina R Antonescu</w:t>
      </w:r>
    </w:p>
    <w:p w14:paraId="64CE8710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Genes Chromosomes Cancer. 2022 Apr 16.doi: 10.1002/gcc.23045. Online ahead of print.</w:t>
      </w:r>
    </w:p>
    <w:p w14:paraId="62204F98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C9A71CF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Application of molecular testing in clinical practice has led to significant advances in the</w:t>
      </w:r>
    </w:p>
    <w:p w14:paraId="1C0CC1C8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classification of soft tissue sarcomas. Despite remarkable progress, there are still challenging</w:t>
      </w:r>
    </w:p>
    <w:p w14:paraId="3072D63F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cases that remain unclassified. In this study, we present an unusual spindle cell sarcoma</w:t>
      </w:r>
    </w:p>
    <w:p w14:paraId="4091F864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arising in the abdominal cavity of a 37-year-old female. An extensive panel of immunostains</w:t>
      </w:r>
    </w:p>
    <w:p w14:paraId="3AF2F570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nonspecific for a line of differentiation and the tumor was subjected to targeted RNA</w:t>
      </w:r>
    </w:p>
    <w:p w14:paraId="15BE8CC0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sequencing for further classification. The findings showed a novel WWTR1::AFF2 fusion,</w:t>
      </w:r>
    </w:p>
    <w:p w14:paraId="4A2A6B08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which was further confirmed by break-apart FISH analysis for WWTR1 gene rearrangement.</w:t>
      </w:r>
    </w:p>
    <w:p w14:paraId="5858DE1B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tumor was attached to the wall of sigmoid colon and showed a highly cellular</w:t>
      </w:r>
    </w:p>
    <w:p w14:paraId="644DA798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proliferation of plump spindle to epithelioid cells arranged in intersecting fascicles. Areas of</w:t>
      </w:r>
    </w:p>
    <w:p w14:paraId="122360BE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extensive endometriosis were identified adjacent to the tumor. The immunoprofile was</w:t>
      </w:r>
    </w:p>
    <w:p w14:paraId="7243096D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 for reactivity with desmin, calponin, WT-1, ER, and PR, while negative for CD10,</w:t>
      </w:r>
    </w:p>
    <w:p w14:paraId="10CD817A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SMA, caldesmon, pan-keratin, ALK, CD117, and S100. The patient is alive and well after 11</w:t>
      </w:r>
    </w:p>
    <w:p w14:paraId="36ECE7EF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months of follow-up. The exact histogenesis of this sarcoma remains unclear, however, the</w:t>
      </w:r>
    </w:p>
    <w:p w14:paraId="398A81A8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presence of adjacent endometriosis and coexpression of WT1/ER/PR raises the possibility of</w:t>
      </w:r>
    </w:p>
    <w:p w14:paraId="119CEEF6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 unusual endometrioid stromal sarcoma, occurring outside the GYN tract. Additional cases</w:t>
      </w:r>
    </w:p>
    <w:p w14:paraId="4C88208B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 needed to establish the recurrent potential of this fusion event and to better define its</w:t>
      </w:r>
    </w:p>
    <w:p w14:paraId="1D5551C9" w14:textId="77777777" w:rsidR="0025603F" w:rsidRDefault="0025603F" w:rsidP="0025603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pathogenesis and clinical behavior.</w:t>
      </w:r>
    </w:p>
    <w:p w14:paraId="0E19C115" w14:textId="6D2F44F6" w:rsidR="00852BED" w:rsidRPr="0025603F" w:rsidRDefault="0025603F" w:rsidP="0025603F">
      <w:r>
        <w:rPr>
          <w:rFonts w:ascii="Times New Roman" w:hAnsi="Times New Roman" w:cs="Times New Roman"/>
          <w:color w:val="212121"/>
          <w:lang w:val="en-US"/>
        </w:rPr>
        <w:t>Keywords: AFF2; WWTR1; endometrial stromal; endometriosis; fusion; sarcoma.</w:t>
      </w:r>
    </w:p>
    <w:sectPr w:rsidR="00852BED" w:rsidRPr="0025603F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D2034" w14:textId="77777777" w:rsidR="00B23465" w:rsidRDefault="00B23465" w:rsidP="002F65CA">
      <w:r>
        <w:separator/>
      </w:r>
    </w:p>
  </w:endnote>
  <w:endnote w:type="continuationSeparator" w:id="0">
    <w:p w14:paraId="3F99CF06" w14:textId="77777777" w:rsidR="00B23465" w:rsidRDefault="00B23465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A8C13" w14:textId="77777777" w:rsidR="00B23465" w:rsidRDefault="00B23465" w:rsidP="002F65CA">
      <w:r>
        <w:separator/>
      </w:r>
    </w:p>
  </w:footnote>
  <w:footnote w:type="continuationSeparator" w:id="0">
    <w:p w14:paraId="0A7ED85E" w14:textId="77777777" w:rsidR="00B23465" w:rsidRDefault="00B23465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2346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2022-05-11T10:53:00Z</dcterms:created>
  <dcterms:modified xsi:type="dcterms:W3CDTF">2022-05-11T10:53:00Z</dcterms:modified>
</cp:coreProperties>
</file>