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A82AE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68. Presence of adenomyosis at MRI reduces live birth rates in ART cycles for</w:t>
      </w:r>
    </w:p>
    <w:p w14:paraId="5623FCA4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3D9FF898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 Bourdon, P Santulli, C Bordonne, A E Millisher, L Maitrot-Mantelet, C Maignien, L</w:t>
      </w:r>
    </w:p>
    <w:p w14:paraId="3D10B0F7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Marcellin, L Melka, C Chapron</w:t>
      </w:r>
    </w:p>
    <w:p w14:paraId="4461D417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Hum Reprod. 2022 Apr 23;deac083.doi: 10.1093/humrep/deac083. Online ahead of print.</w:t>
      </w:r>
    </w:p>
    <w:p w14:paraId="78124075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F3FBAFE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question: What is the impact of adenomyosis on the live birth rate (LBR) in women</w:t>
      </w:r>
    </w:p>
    <w:p w14:paraId="7AF59117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affected by endometriosis women undergoing ART?</w:t>
      </w:r>
    </w:p>
    <w:p w14:paraId="39CC1212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Summary answer: For women undergoing ART, the presence of adenomyosis at MRI,</w:t>
      </w:r>
    </w:p>
    <w:p w14:paraId="64DE19F9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especially T2 high-signal intensity spots within the myometrium, has a negative impact on</w:t>
      </w:r>
    </w:p>
    <w:p w14:paraId="379752B4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LBR.</w:t>
      </w:r>
    </w:p>
    <w:p w14:paraId="434C96C9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What is known already: Adenomyosis is a common gynecological disease. The</w:t>
      </w:r>
    </w:p>
    <w:p w14:paraId="6C417D3A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development of imaging techniques for the diagnosis has led to several adenomyosis</w:t>
      </w:r>
    </w:p>
    <w:p w14:paraId="276DFC9A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phenotypes being described, and fertility issues appear to vary according to the characteristics</w:t>
      </w:r>
    </w:p>
    <w:p w14:paraId="41807464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 lesions. What makes assessment of the impact of adenomyosis on fertility issues even</w:t>
      </w:r>
    </w:p>
    <w:p w14:paraId="77FDEF00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more difficult is its frequent association with endometriosis, which is another known risk</w:t>
      </w:r>
    </w:p>
    <w:p w14:paraId="63C6C890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factor of infertility. Although data suggest that adenomyosis may worsen the ART prognosis,</w:t>
      </w:r>
    </w:p>
    <w:p w14:paraId="5C091600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 is no clear consensus regarding the impact of adenomyosis on ART outcomes in women</w:t>
      </w:r>
    </w:p>
    <w:p w14:paraId="639DE819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affected by endometriosis.</w:t>
      </w:r>
    </w:p>
    <w:p w14:paraId="3BDDE8B7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design, size, duration: This was an observational study that included phenotyped</w:t>
      </w:r>
    </w:p>
    <w:p w14:paraId="4B3581F5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with endometriosis, aged between 18 and 42 years, who underwent IVF/ICSI</w:t>
      </w:r>
    </w:p>
    <w:p w14:paraId="5EC766CC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treatment in a tertiary care center between June 2015 and July 2018. Only women who had</w:t>
      </w:r>
    </w:p>
    <w:p w14:paraId="22BF954D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undergone a pelvic MRI during the pre-therapeutic ART workup were retained for this study.</w:t>
      </w:r>
    </w:p>
    <w:p w14:paraId="2ACF61BF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MRI data were interpreted by radiologists who had expertise in gynecological MRI.</w:t>
      </w:r>
    </w:p>
    <w:p w14:paraId="70E5ADC2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Participants/materials, setting, methods: A continuous series of 202 women affected by</w:t>
      </w:r>
    </w:p>
    <w:p w14:paraId="3647CF5B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was included. The women were monitored until four ART cycles had been</w:t>
      </w:r>
    </w:p>
    <w:p w14:paraId="7BEAB4D7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completed, until delivery, or until discontinuation of treatment before the completion of four</w:t>
      </w:r>
    </w:p>
    <w:p w14:paraId="762893B0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cycles. The primary outcome was the delivery of at least one live infant after up to four</w:t>
      </w:r>
    </w:p>
    <w:p w14:paraId="0DB6C33F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IVF/ICSI cycles. The patient and the MRI characteristics were compared between the women</w:t>
      </w:r>
    </w:p>
    <w:p w14:paraId="376D088D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who achieved a live birth versus those who did not.</w:t>
      </w:r>
    </w:p>
    <w:p w14:paraId="6CEDD9B1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Main results and the role of chance: The patients' mean age was 32.5 Å} 3.7 years. Deep</w:t>
      </w:r>
    </w:p>
    <w:p w14:paraId="7BC55EA6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infiltrating endometriosis was present in 90.1% (182/202) of the included population.</w:t>
      </w:r>
    </w:p>
    <w:p w14:paraId="5DCCF02D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Adenomyosis (lesions of the internal and/or the external myometrium) was found in 71.8%</w:t>
      </w:r>
    </w:p>
    <w:p w14:paraId="1A26E184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(145/202) of the included women. The cumulative LBR was 57.4% (116/202). The women</w:t>
      </w:r>
    </w:p>
    <w:p w14:paraId="60A63F65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who gave birth were significantly younger (32.0 Å} 3.3 versus 33.3 Å} 4.1, P = 0.026) and had</w:t>
      </w:r>
    </w:p>
    <w:p w14:paraId="64DAF99B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better ovarian reserve parameters (anti-Müllerian hormone levels, antral follicle</w:t>
      </w:r>
    </w:p>
    <w:p w14:paraId="3FA68913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count) than those who did not. The presence of adenomyosis, irrespective of the phenotype</w:t>
      </w:r>
    </w:p>
    <w:p w14:paraId="72E5689A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(76/116 (65.5%) versus 69/86 (80.2%), respectively, P = 0.022) and the presence of T2 highsignal</w:t>
      </w:r>
    </w:p>
    <w:p w14:paraId="65EADFD1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intensity myometrial spots (27/116 (23.3%) and 37/86 (43.0%), respectively, P =</w:t>
      </w:r>
    </w:p>
    <w:p w14:paraId="7E994923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0.003) was significantly less frequent in the group of women who gave birth versus those</w:t>
      </w:r>
    </w:p>
    <w:p w14:paraId="5997B95A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who did not. After multivariate analysis, the presence of adenomyosis (odds ratio (OR): 0.48,</w:t>
      </w:r>
    </w:p>
    <w:p w14:paraId="2CAE926E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95% CI (0.29-0.99), P = 0.048) and the presence of T2 high-signal intensity myometrial spots</w:t>
      </w:r>
    </w:p>
    <w:p w14:paraId="40344C8B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(OR: 0.43, 95% CI (0.22-0.86), P = 0.018) were independently found to be associated with a</w:t>
      </w:r>
    </w:p>
    <w:p w14:paraId="31694E62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decrease in the cumulative chance of live birth.</w:t>
      </w:r>
    </w:p>
    <w:p w14:paraId="2FF0CFEF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Limitations, reasons for caution: The inclusion of patients from a referral center specialized</w:t>
      </w:r>
    </w:p>
    <w:p w14:paraId="4465BE7E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lastRenderedPageBreak/>
        <w:t>in the management of women affected by endometriosis could constitute a selection bias, as</w:t>
      </w:r>
    </w:p>
    <w:p w14:paraId="0E49CA3C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these women may have had particularly severe forms of adenomyosis and/or endometriosis.</w:t>
      </w:r>
    </w:p>
    <w:p w14:paraId="3FE006D6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sensitive issue is that there is no consensual classification of adenomyosis and several</w:t>
      </w:r>
    </w:p>
    <w:p w14:paraId="10730B93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lesions of adenomyosis can co-exist. Therefore, a comparison of fertility outcomes between</w:t>
      </w:r>
    </w:p>
    <w:p w14:paraId="288FB2FD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with and without adenomyosis is difficult to perform in practice.</w:t>
      </w:r>
    </w:p>
    <w:p w14:paraId="2BD24A4F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Wider implications of the findings: In women exhibiting endometriosis, the practitioner</w:t>
      </w:r>
    </w:p>
    <w:p w14:paraId="3D798D98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should perform an appropriate imaging workup to search for adenomyosis, identify</w:t>
      </w:r>
    </w:p>
    <w:p w14:paraId="7B39D256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prognostic factors, and personalize the patient management strategy in the setting of ART.</w:t>
      </w:r>
    </w:p>
    <w:p w14:paraId="74473070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funding/competing interest(s): No funding was obtained and there were no conflicts</w:t>
      </w:r>
    </w:p>
    <w:p w14:paraId="6A1A3AFC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interest.</w:t>
      </w:r>
    </w:p>
    <w:p w14:paraId="0B55D0F5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Trial registration number: N/A.</w:t>
      </w:r>
    </w:p>
    <w:p w14:paraId="763E00B2" w14:textId="77777777" w:rsidR="00042C37" w:rsidRDefault="00042C37" w:rsidP="00042C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ART; IVF treatment; MRI; T2 high-signal intensity myometrial spots;</w:t>
      </w:r>
    </w:p>
    <w:p w14:paraId="0E19C115" w14:textId="43ADA79F" w:rsidR="00852BED" w:rsidRPr="00042C37" w:rsidRDefault="00042C37" w:rsidP="00042C37">
      <w:r>
        <w:rPr>
          <w:rFonts w:ascii="Times New Roman" w:hAnsi="Times New Roman" w:cs="Times New Roman"/>
          <w:color w:val="212121"/>
          <w:lang w:val="en-US"/>
        </w:rPr>
        <w:t>adenomyosis; endometriosis; live birth.</w:t>
      </w:r>
    </w:p>
    <w:sectPr w:rsidR="00852BED" w:rsidRPr="00042C37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300CE" w14:textId="77777777" w:rsidR="009C1621" w:rsidRDefault="009C1621" w:rsidP="002F65CA">
      <w:r>
        <w:separator/>
      </w:r>
    </w:p>
  </w:endnote>
  <w:endnote w:type="continuationSeparator" w:id="0">
    <w:p w14:paraId="04F07656" w14:textId="77777777" w:rsidR="009C1621" w:rsidRDefault="009C1621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5A212" w14:textId="77777777" w:rsidR="009C1621" w:rsidRDefault="009C1621" w:rsidP="002F65CA">
      <w:r>
        <w:separator/>
      </w:r>
    </w:p>
  </w:footnote>
  <w:footnote w:type="continuationSeparator" w:id="0">
    <w:p w14:paraId="069CEA77" w14:textId="77777777" w:rsidR="009C1621" w:rsidRDefault="009C1621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C1621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2022-05-11T10:53:00Z</dcterms:created>
  <dcterms:modified xsi:type="dcterms:W3CDTF">2022-05-11T10:53:00Z</dcterms:modified>
</cp:coreProperties>
</file>