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54955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69. The clinical features and long-term surgical outcomes of different types of</w:t>
      </w:r>
    </w:p>
    <w:p w14:paraId="759B2C33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abdominal wall endometriosis</w:t>
      </w:r>
    </w:p>
    <w:p w14:paraId="5CFB9710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Yushi Wu, Yi Dai, Junji Zhang, Xiaoyan Li, Jinghua Shi, Zhiyue Gu, Jing</w:t>
      </w:r>
    </w:p>
    <w:p w14:paraId="3ADF2870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Zhang, Jinhua Leng</w:t>
      </w:r>
    </w:p>
    <w:p w14:paraId="1E1F328C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Arch Gynecol Obstet. 2022 Apr 28.doi: 10.1007/s00404-022-06579-0. Online ahead of print.</w:t>
      </w:r>
    </w:p>
    <w:p w14:paraId="2DE2E0E1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3D9DE2B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Purpose: To classify abdominal wall endometriosis (AWE) according to the invasive levels</w:t>
      </w:r>
    </w:p>
    <w:p w14:paraId="082D0DF0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tissue mass, and to compare the differences in clinical characteristics between different</w:t>
      </w:r>
    </w:p>
    <w:p w14:paraId="437C5C78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types of AWE.</w:t>
      </w:r>
    </w:p>
    <w:p w14:paraId="14F44ED9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In this study, we retrospectively analyzed the clinical data of 367 patients who had</w:t>
      </w:r>
    </w:p>
    <w:p w14:paraId="7B8199D8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undergone resection of abdominal-wall endometriotic lesions at the Peking Union Medical</w:t>
      </w:r>
    </w:p>
    <w:p w14:paraId="35F7EA75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College Hospital from January 2008 to December 2018, and we divided the patients into</w:t>
      </w:r>
    </w:p>
    <w:p w14:paraId="02EA4F11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three types according to their deepest level of lesion invasion. Type I designated invasion of</w:t>
      </w:r>
    </w:p>
    <w:p w14:paraId="71E7FA5E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skin and subcutaneous tissue; type II, of fascia and rectus abdominis; and type III, of</w:t>
      </w:r>
    </w:p>
    <w:p w14:paraId="6B7CD505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peritoneum. We classified, compared, and analyzed the general conditions, clinical</w:t>
      </w:r>
    </w:p>
    <w:p w14:paraId="2F050EBD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manifestations, auxiliary examinations, surgical conditions, postoperative conditions, and</w:t>
      </w:r>
    </w:p>
    <w:p w14:paraId="70132E1E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recurrence status of patients.</w:t>
      </w:r>
    </w:p>
    <w:p w14:paraId="2ADD1D5A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Of the 367 patients, type I patients accounted for 13.62%, type II patients for</w:t>
      </w:r>
    </w:p>
    <w:p w14:paraId="7FBBC142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56.68%, and type III for 29.7%. With respect to group comparisons, we observed that as the</w:t>
      </w:r>
    </w:p>
    <w:p w14:paraId="60F210B0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location of the mass deepened, the rate of concurrent pelvic endometriosis increased (P =</w:t>
      </w:r>
    </w:p>
    <w:p w14:paraId="417718C3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0.007), recurrent AWE was augmented (P = 0.02), the size of the mass increased (P &lt; 0.001),</w:t>
      </w:r>
    </w:p>
    <w:p w14:paraId="10FDCF1A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rate of multiple lesions became elevated (P &lt; 0.001), the rate of mesh implantation</w:t>
      </w:r>
    </w:p>
    <w:p w14:paraId="73FEDF40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increased (P &lt; 0.001), the length of postoperative hospital stay (P &lt; 0.001) was lengthened,</w:t>
      </w:r>
    </w:p>
    <w:p w14:paraId="13C78D0B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number of postoperative fever cases (P = 0.006) increased, and the risk of drainage</w:t>
      </w:r>
    </w:p>
    <w:p w14:paraId="697A9CF6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placement (P &lt; 0.001) was enhanced. The 5-year cumulative recurrence rate was 3.3%, and</w:t>
      </w:r>
    </w:p>
    <w:p w14:paraId="1FE46B87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 was no significant difference in the recurrence rate among various types of AWE.</w:t>
      </w:r>
    </w:p>
    <w:p w14:paraId="18FDCB93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Type III AWE carries more severe clinical manifestations, larger lesion size,</w:t>
      </w:r>
    </w:p>
    <w:p w14:paraId="5B777C59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longer operative time, greater intraoperative surgical difficulty, higher necessity of mesh</w:t>
      </w:r>
    </w:p>
    <w:p w14:paraId="11EA5A25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implantation, and longer postoperative recovery process. Complete resection of AWE lesion</w:t>
      </w:r>
    </w:p>
    <w:p w14:paraId="669101ED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the main therapeutically approach and shows relatively low long-term recurrency rate.</w:t>
      </w:r>
    </w:p>
    <w:p w14:paraId="6403BBAF" w14:textId="77777777" w:rsidR="00F83403" w:rsidRDefault="00F83403" w:rsidP="00F8340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Abdominal wall endometriosis; Classification; Clinical characteristics;</w:t>
      </w:r>
    </w:p>
    <w:p w14:paraId="0E19C115" w14:textId="7E441990" w:rsidR="00852BED" w:rsidRPr="00F83403" w:rsidRDefault="00F83403" w:rsidP="00F83403">
      <w:r>
        <w:rPr>
          <w:rFonts w:ascii="Times New Roman" w:hAnsi="Times New Roman" w:cs="Times New Roman"/>
          <w:color w:val="212121"/>
          <w:lang w:val="en-US"/>
        </w:rPr>
        <w:t>Recurrence.</w:t>
      </w:r>
    </w:p>
    <w:sectPr w:rsidR="00852BED" w:rsidRPr="00F83403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8F6A2" w14:textId="77777777" w:rsidR="00193056" w:rsidRDefault="00193056" w:rsidP="002F65CA">
      <w:r>
        <w:separator/>
      </w:r>
    </w:p>
  </w:endnote>
  <w:endnote w:type="continuationSeparator" w:id="0">
    <w:p w14:paraId="1F4C931D" w14:textId="77777777" w:rsidR="00193056" w:rsidRDefault="0019305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F3E7B" w14:textId="77777777" w:rsidR="00193056" w:rsidRDefault="00193056" w:rsidP="002F65CA">
      <w:r>
        <w:separator/>
      </w:r>
    </w:p>
  </w:footnote>
  <w:footnote w:type="continuationSeparator" w:id="0">
    <w:p w14:paraId="7A8276BF" w14:textId="77777777" w:rsidR="00193056" w:rsidRDefault="0019305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93056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2022-05-11T10:54:00Z</dcterms:created>
  <dcterms:modified xsi:type="dcterms:W3CDTF">2022-05-11T10:54:00Z</dcterms:modified>
</cp:coreProperties>
</file>