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4536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71. Targeted Nanoparticles with High Heating Efficiency for the Treatment of</w:t>
      </w:r>
    </w:p>
    <w:p w14:paraId="10C61BDC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 with Systemically Delivered Magnetic Hyperthermia</w:t>
      </w:r>
    </w:p>
    <w:p w14:paraId="1B27887D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Youngrong Park, Ananiya A Demessie, Addie Luo, Olena R Taratula, Abraham S</w:t>
      </w:r>
    </w:p>
    <w:p w14:paraId="56ABD46A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Moses, Peter Do, Leonardo Campos, Younes Jahangiri, Cory R Wyatt, Hassan A</w:t>
      </w:r>
    </w:p>
    <w:p w14:paraId="1900B868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Albarqi, Khashayar Farsad, Ov D Slayden, Oleh Taratula</w:t>
      </w:r>
    </w:p>
    <w:p w14:paraId="4BAF35B6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Small. 2022 Apr 17;e2107808.doi: 10.1002/smll.202107808. Online ahead of print.</w:t>
      </w:r>
    </w:p>
    <w:p w14:paraId="1BAC6F58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41384FD8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 devastating disease in which endometrial-like tissue forms lesions outside</w:t>
      </w:r>
    </w:p>
    <w:p w14:paraId="285BF93F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uterus. It causes infertility and severe pelvic pain in ≈176 million women worldwide, and</w:t>
      </w:r>
    </w:p>
    <w:p w14:paraId="6B75AF50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there is currently no cure for this disease. Magnetic hyperthermia could potentially eliminate</w:t>
      </w:r>
    </w:p>
    <w:p w14:paraId="1CD39091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widespread endometriotic lesions but has not previously been considered for treatment</w:t>
      </w:r>
    </w:p>
    <w:p w14:paraId="7B5DD1EE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because conventional magnetic nanoparticles have relatively low heating efficiency and can</w:t>
      </w:r>
    </w:p>
    <w:p w14:paraId="594B8DB2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only provide ablation temperatures (&gt;46 ÅãC) following direct intralesional injection. This</w:t>
      </w:r>
    </w:p>
    <w:p w14:paraId="4287D7C8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is the first to describe nanoparticles that enable systemically delivered magnetic</w:t>
      </w:r>
    </w:p>
    <w:p w14:paraId="706DDFA2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hyperthermia for endometriosis treatment. When subjected to an alternating magnetic field</w:t>
      </w:r>
    </w:p>
    <w:p w14:paraId="42292ABC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(AMF), these hexagonal iron-oxide nanoparticles exhibit extraordinary heating efficiency that</w:t>
      </w:r>
    </w:p>
    <w:p w14:paraId="405942E4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is 6.4Å~ greater than their spherical counterparts. Modifying nanoparticles with a peptide</w:t>
      </w:r>
    </w:p>
    <w:p w14:paraId="3B680171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targeted to vascular endothelial growth factor receptor 2 (VEGFR-2) enhances their</w:t>
      </w:r>
    </w:p>
    <w:p w14:paraId="200C1303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specificity. Studies in mice bearing transplants of macaque endometriotic</w:t>
      </w:r>
    </w:p>
    <w:p w14:paraId="0A420E18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tissue reveal that, following intravenous injection at a low dose (3 mg per kg), these</w:t>
      </w:r>
    </w:p>
    <w:p w14:paraId="23236472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nanoparticles efficiently accumulate in endometriotic lesions, selectively elevate intralesional</w:t>
      </w:r>
    </w:p>
    <w:p w14:paraId="1FD125F5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temperature above 50 ÅãC upon exposure to external AMF, and completely eradicate them</w:t>
      </w:r>
    </w:p>
    <w:p w14:paraId="35A9F8DA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 a single treatment. These nanoparticles also demonstrate promising potential as</w:t>
      </w:r>
    </w:p>
    <w:p w14:paraId="54BC9CA9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magnetic resonance imaging (MRI) contrast agents for precise detection of endometriotic</w:t>
      </w:r>
    </w:p>
    <w:p w14:paraId="62D2D496" w14:textId="77777777" w:rsidR="00B34078" w:rsidRDefault="00B34078" w:rsidP="00B3407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tissue before AMF application.</w:t>
      </w:r>
    </w:p>
    <w:p w14:paraId="0E19C115" w14:textId="4D326C7D" w:rsidR="00852BED" w:rsidRPr="00B34078" w:rsidRDefault="00B34078" w:rsidP="00B34078">
      <w:r>
        <w:rPr>
          <w:rFonts w:ascii="Times New Roman" w:hAnsi="Times New Roman" w:cs="Times New Roman"/>
          <w:color w:val="212121"/>
          <w:lang w:val="en-US"/>
        </w:rPr>
        <w:t>Keywords: MRI; endometriosis; magnetic hyperthermia; nanoparticles; targeting peptides.</w:t>
      </w:r>
    </w:p>
    <w:sectPr w:rsidR="00852BED" w:rsidRPr="00B34078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CF14F" w14:textId="77777777" w:rsidR="002E7A37" w:rsidRDefault="002E7A37" w:rsidP="002F65CA">
      <w:r>
        <w:separator/>
      </w:r>
    </w:p>
  </w:endnote>
  <w:endnote w:type="continuationSeparator" w:id="0">
    <w:p w14:paraId="250E231E" w14:textId="77777777" w:rsidR="002E7A37" w:rsidRDefault="002E7A37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BC34F" w14:textId="77777777" w:rsidR="002E7A37" w:rsidRDefault="002E7A37" w:rsidP="002F65CA">
      <w:r>
        <w:separator/>
      </w:r>
    </w:p>
  </w:footnote>
  <w:footnote w:type="continuationSeparator" w:id="0">
    <w:p w14:paraId="706F540B" w14:textId="77777777" w:rsidR="002E7A37" w:rsidRDefault="002E7A37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2C37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E7A37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C558D"/>
    <w:rsid w:val="005E1977"/>
    <w:rsid w:val="005E516D"/>
    <w:rsid w:val="005F4EAD"/>
    <w:rsid w:val="00627A86"/>
    <w:rsid w:val="006419FC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34078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83403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2022-05-11T10:55:00Z</dcterms:created>
  <dcterms:modified xsi:type="dcterms:W3CDTF">2022-05-11T10:55:00Z</dcterms:modified>
</cp:coreProperties>
</file>