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6C5C9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72. Salpingo-Oophorectomy or Surveillance for Ovarian Endometrioma in</w:t>
      </w:r>
    </w:p>
    <w:p w14:paraId="19BEB4F2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Asymptomatic Premenopausal Women: a Cost-Effectiveness Analysis</w:t>
      </w:r>
    </w:p>
    <w:p w14:paraId="44306462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Megan S Orlando, Lauren A Cadish, Jonathan P Shepherd, Tommaso Falcone, Olivia</w:t>
      </w:r>
    </w:p>
    <w:p w14:paraId="0F87CD7C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H Chang, Rosanne M Kho</w:t>
      </w:r>
    </w:p>
    <w:p w14:paraId="67E2C544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Am J Obstet Gynecol. 2022 Apr 28;S0002-9378(22)00324-6.doi:</w:t>
      </w:r>
    </w:p>
    <w:p w14:paraId="01B6BCE4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10.1016/j.ajog.2022.04.043.Online ahead of print.</w:t>
      </w:r>
    </w:p>
    <w:p w14:paraId="5A791B9E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73255D5B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The lifetime risk of ovarian cancer is 1.9% among women with endometriosis</w:t>
      </w:r>
    </w:p>
    <w:p w14:paraId="7B7B5E8C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compared to 1.3% among the general population. When an asymptomatic endometrioma is</w:t>
      </w:r>
    </w:p>
    <w:p w14:paraId="46E70FAE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incidentally discovered on imaging, gynecologists must weigh procedural complications and</w:t>
      </w:r>
    </w:p>
    <w:p w14:paraId="29515291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potential for subsequent surgical menopause against future ovarian pathology or cancer</w:t>
      </w:r>
    </w:p>
    <w:p w14:paraId="2FD93BAD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OBJECTIVE: We aimed to determine if performing unilateral salpingo-oophorectomy (USO)</w:t>
      </w:r>
    </w:p>
    <w:p w14:paraId="3BD31BC3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is a cost-effective strategy for prevention of death compared to surveillance for asymptomatic</w:t>
      </w:r>
    </w:p>
    <w:p w14:paraId="2CDCDF5C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endometriomas.</w:t>
      </w:r>
    </w:p>
    <w:p w14:paraId="307185E5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design: We created a cost-effectiveness model using TreeAge Pro with a lifetime</w:t>
      </w:r>
    </w:p>
    <w:p w14:paraId="0E2A61E2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horizon. Our hypothetical cohort included premenopausal patients with two ovaries who do</w:t>
      </w:r>
    </w:p>
    <w:p w14:paraId="0AF9DDB7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not desire fertility. Those diagnosed with asymptomatic endometrioma underwent USO or</w:t>
      </w:r>
    </w:p>
    <w:p w14:paraId="2EBB7B51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surveillance (ultrasound 6-12 weeks after diagnosis, then annually). Our primary</w:t>
      </w:r>
    </w:p>
    <w:p w14:paraId="697690FD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effectiveness outcome was mortality, including death from ovarian cancer or surgery and allcause</w:t>
      </w:r>
    </w:p>
    <w:p w14:paraId="04A52D74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mortality related to surgical menopause (+/- hormone replacement therapy) if the</w:t>
      </w:r>
    </w:p>
    <w:p w14:paraId="4FCD7210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contralateral ovary is removed. We modeled the probabilities of surgical complications,</w:t>
      </w:r>
    </w:p>
    <w:p w14:paraId="179DAF20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occult malignancy, development of contralateral adnexal pathology, surgical menopause, use</w:t>
      </w:r>
    </w:p>
    <w:p w14:paraId="175413E7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hormone replacement therapy, and development of ovarian cancer. Costs included surgical</w:t>
      </w:r>
    </w:p>
    <w:p w14:paraId="0F8C3E04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procedures, complications, ultrasound surveillance, hormone therapy, and treatment of</w:t>
      </w:r>
    </w:p>
    <w:p w14:paraId="1233E2AB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ovarian cancer, with information gathered from Medicare reimbursement data and published</w:t>
      </w:r>
    </w:p>
    <w:p w14:paraId="6B8B6AF9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literature. Cost-effectiveness was determined using the incremental cost-effectiveness ratio</w:t>
      </w:r>
    </w:p>
    <w:p w14:paraId="5E93BCC7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(ICER) of Δ costs / Δ deaths with a willingness-to-pay (WTP) threshold of $11.6 million as</w:t>
      </w:r>
    </w:p>
    <w:p w14:paraId="64BE14E7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value of a statistical life. Multiple one-way sensitivity analyses were performed to</w:t>
      </w:r>
    </w:p>
    <w:p w14:paraId="6B34D05C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evaluate model robustness.</w:t>
      </w:r>
    </w:p>
    <w:p w14:paraId="642A4F95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Our model demonstrated that USO is associated with improved outcomes compared</w:t>
      </w:r>
    </w:p>
    <w:p w14:paraId="463BF234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 surveillance, with fewer deaths (0.28% vs.1.50%) and fewer cases of ovarian cancer</w:t>
      </w:r>
    </w:p>
    <w:p w14:paraId="04C77E06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(0.42% vs. 2.96%). However, USO costs more than sonographic surveillance at $6,403.43 vs.</w:t>
      </w:r>
    </w:p>
    <w:p w14:paraId="743A6A71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$5,381.39 per case of incidental endometrioma. The ICER showed that USO costs</w:t>
      </w:r>
    </w:p>
    <w:p w14:paraId="00126F16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$83,773.77 per death prevented and $40,237.80 per case of ovarian cancer prevented</w:t>
      </w:r>
    </w:p>
    <w:p w14:paraId="5E3C402F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compared to surveillance. As both values were well below the WTP threshold, USO is costeffective</w:t>
      </w:r>
    </w:p>
    <w:p w14:paraId="487736D3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the preferred strategy. If USO were chosen over surveillance for premenopausal</w:t>
      </w:r>
    </w:p>
    <w:p w14:paraId="207F0569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 with incidental endometriomas, one diagnosis of ovarian cancer would be prevented</w:t>
      </w:r>
    </w:p>
    <w:p w14:paraId="43FF4EEF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 every 40 patients and one death averted in every 82 patients. We performed one-way</w:t>
      </w:r>
    </w:p>
    <w:p w14:paraId="3483ECBC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sensitivity analyses for all input variables, and determined that there were no reasonable</w:t>
      </w:r>
    </w:p>
    <w:p w14:paraId="441DADD5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inputs that would alter our conclusions.</w:t>
      </w:r>
    </w:p>
    <w:p w14:paraId="41A28D6F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USO is cost-effective and the preferred strategy compared to surveillance for</w:t>
      </w:r>
    </w:p>
    <w:p w14:paraId="1418B8FD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management of incidental endometrioma in a premenopausal patient not desiring fertility.</w:t>
      </w:r>
    </w:p>
    <w:p w14:paraId="137D7756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USO incurs fewer deaths and fewer cases of ovarian cancer with costs below national</w:t>
      </w:r>
    </w:p>
    <w:p w14:paraId="4F57E546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willingness-to-pay thresholds.</w:t>
      </w:r>
    </w:p>
    <w:p w14:paraId="7A038FC2" w14:textId="77777777" w:rsidR="00652437" w:rsidRDefault="00652437" w:rsidP="0065243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lastRenderedPageBreak/>
        <w:t>Keywords: Cost-effectiveness analysis; Decision analysis; Endometrioma; Oophorectomy;</w:t>
      </w:r>
    </w:p>
    <w:p w14:paraId="0E19C115" w14:textId="75AF03CD" w:rsidR="00852BED" w:rsidRPr="00652437" w:rsidRDefault="00652437" w:rsidP="00652437">
      <w:r>
        <w:rPr>
          <w:rFonts w:ascii="Times New Roman" w:hAnsi="Times New Roman" w:cs="Times New Roman"/>
          <w:color w:val="212121"/>
          <w:lang w:val="en-US"/>
        </w:rPr>
        <w:t>Ovarian cancer.</w:t>
      </w:r>
    </w:p>
    <w:sectPr w:rsidR="00852BED" w:rsidRPr="00652437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3A41C" w14:textId="77777777" w:rsidR="00313672" w:rsidRDefault="00313672" w:rsidP="002F65CA">
      <w:r>
        <w:separator/>
      </w:r>
    </w:p>
  </w:endnote>
  <w:endnote w:type="continuationSeparator" w:id="0">
    <w:p w14:paraId="70AC9ABA" w14:textId="77777777" w:rsidR="00313672" w:rsidRDefault="00313672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2DFF8" w14:textId="77777777" w:rsidR="00313672" w:rsidRDefault="00313672" w:rsidP="002F65CA">
      <w:r>
        <w:separator/>
      </w:r>
    </w:p>
  </w:footnote>
  <w:footnote w:type="continuationSeparator" w:id="0">
    <w:p w14:paraId="2D7E890E" w14:textId="77777777" w:rsidR="00313672" w:rsidRDefault="00313672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2C37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5603F"/>
    <w:rsid w:val="002F65CA"/>
    <w:rsid w:val="00313672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C558D"/>
    <w:rsid w:val="005E1977"/>
    <w:rsid w:val="005E516D"/>
    <w:rsid w:val="005F4EAD"/>
    <w:rsid w:val="00627A86"/>
    <w:rsid w:val="006419FC"/>
    <w:rsid w:val="00652437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7698F"/>
    <w:rsid w:val="00A80B37"/>
    <w:rsid w:val="00AA059E"/>
    <w:rsid w:val="00AA4C82"/>
    <w:rsid w:val="00AB76A6"/>
    <w:rsid w:val="00AD2674"/>
    <w:rsid w:val="00AE38B0"/>
    <w:rsid w:val="00AF41C5"/>
    <w:rsid w:val="00B34078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83403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518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2022-05-11T10:55:00Z</dcterms:created>
  <dcterms:modified xsi:type="dcterms:W3CDTF">2022-05-11T10:55:00Z</dcterms:modified>
</cp:coreProperties>
</file>